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eastAsia"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w:t>
      </w:r>
      <w:r>
        <w:rPr>
          <w:rFonts w:hint="eastAsia" w:ascii="仿宋" w:hAnsi="仿宋" w:eastAsia="仿宋" w:cs="仿宋"/>
          <w:sz w:val="32"/>
          <w:szCs w:val="32"/>
          <w:lang w:val="en-US" w:eastAsia="zh-CN"/>
        </w:rPr>
        <w:t>江油蜀游酒店管理公司青莲分公司</w:t>
      </w:r>
      <w:r>
        <w:rPr>
          <w:rFonts w:hint="eastAsia" w:ascii="仿宋" w:hAnsi="仿宋" w:eastAsia="仿宋" w:cs="仿宋"/>
          <w:b w:val="0"/>
          <w:bCs w:val="0"/>
          <w:sz w:val="32"/>
          <w:szCs w:val="32"/>
          <w:u w:val="none" w:color="auto"/>
          <w:lang w:val="en-US" w:eastAsia="zh-CN"/>
        </w:rPr>
        <w:t>旗下欧洲院子提供游泳池设备维修及更换服务</w:t>
      </w:r>
      <w:r>
        <w:rPr>
          <w:rFonts w:hint="eastAsia" w:ascii="仿宋" w:hAnsi="仿宋" w:eastAsia="仿宋" w:cs="仿宋"/>
          <w:b w:val="0"/>
          <w:bCs w:val="0"/>
          <w:sz w:val="32"/>
          <w:szCs w:val="32"/>
          <w:u w:val="none" w:color="auto"/>
          <w:lang w:eastAsia="zh-CN"/>
        </w:rPr>
        <w:t>。</w:t>
      </w:r>
    </w:p>
    <w:p>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工程</w:t>
      </w:r>
      <w:r>
        <w:rPr>
          <w:rFonts w:hint="eastAsia" w:ascii="黑体" w:hAnsi="黑体" w:eastAsia="黑体" w:cs="黑体"/>
          <w:b w:val="0"/>
          <w:bCs w:val="0"/>
          <w:sz w:val="32"/>
          <w:szCs w:val="32"/>
          <w:u w:val="none" w:color="auto"/>
        </w:rPr>
        <w:t>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更换及维修青莲欧洲院子游泳池核心部件，恢复水质过滤和消毒杀菌功能。</w:t>
      </w:r>
    </w:p>
    <w:p>
      <w:pPr>
        <w:keepNext w:val="0"/>
        <w:keepLines w:val="0"/>
        <w:pageBreakBefore w:val="0"/>
        <w:widowControl w:val="0"/>
        <w:numPr>
          <w:ilvl w:val="0"/>
          <w:numId w:val="0"/>
        </w:numPr>
        <w:shd w:val="clear" w:color="auto" w:fill="auto"/>
        <w:tabs>
          <w:tab w:val="left" w:pos="582"/>
        </w:tabs>
        <w:kinsoku/>
        <w:wordWrap/>
        <w:overflowPunct/>
        <w:topLinePunct w:val="0"/>
        <w:autoSpaceDE/>
        <w:autoSpaceDN/>
        <w:bidi w:val="0"/>
        <w:adjustRightInd/>
        <w:snapToGrid/>
        <w:spacing w:line="574" w:lineRule="exact"/>
        <w:ind w:right="0" w:rightChars="0" w:firstLine="643" w:firstLineChars="200"/>
        <w:jc w:val="center"/>
        <w:textAlignment w:val="auto"/>
        <w:rPr>
          <w:rFonts w:hint="eastAsia" w:ascii="仿宋" w:hAnsi="仿宋" w:eastAsia="仿宋" w:cs="仿宋"/>
          <w:b/>
          <w:bCs/>
          <w:sz w:val="32"/>
          <w:szCs w:val="32"/>
          <w:u w:val="none" w:color="auto"/>
          <w:lang w:val="en-US" w:eastAsia="zh-CN"/>
        </w:rPr>
      </w:pPr>
      <w:r>
        <w:rPr>
          <w:rFonts w:hint="eastAsia" w:ascii="仿宋" w:hAnsi="仿宋" w:eastAsia="仿宋" w:cs="仿宋"/>
          <w:b/>
          <w:bCs/>
          <w:sz w:val="32"/>
          <w:szCs w:val="32"/>
          <w:u w:val="none" w:color="auto"/>
          <w:lang w:val="en-US" w:eastAsia="zh-CN"/>
        </w:rPr>
        <w:t>报价清单</w:t>
      </w:r>
    </w:p>
    <w:tbl>
      <w:tblPr>
        <w:tblStyle w:val="5"/>
        <w:tblW w:w="10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402"/>
        <w:gridCol w:w="2769"/>
        <w:gridCol w:w="1177"/>
        <w:gridCol w:w="1015"/>
        <w:gridCol w:w="877"/>
        <w:gridCol w:w="935"/>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序号</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设备名称</w:t>
            </w:r>
          </w:p>
        </w:tc>
        <w:tc>
          <w:tcPr>
            <w:tcW w:w="2769"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设备参数</w:t>
            </w:r>
          </w:p>
        </w:tc>
        <w:tc>
          <w:tcPr>
            <w:tcW w:w="11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品牌</w:t>
            </w: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单位</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数量</w:t>
            </w:r>
          </w:p>
        </w:tc>
        <w:tc>
          <w:tcPr>
            <w:tcW w:w="93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单价</w:t>
            </w:r>
          </w:p>
        </w:tc>
        <w:tc>
          <w:tcPr>
            <w:tcW w:w="866"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更换石英砂</w:t>
            </w:r>
          </w:p>
        </w:tc>
        <w:tc>
          <w:tcPr>
            <w:tcW w:w="2769" w:type="dxa"/>
          </w:tcPr>
          <w:p>
            <w:pPr>
              <w:pStyle w:val="2"/>
              <w:jc w:val="center"/>
              <w:rPr>
                <w:rFonts w:hint="default"/>
                <w:sz w:val="24"/>
                <w:szCs w:val="24"/>
                <w:vertAlign w:val="baseline"/>
                <w:lang w:val="en-US" w:eastAsia="zh-CN"/>
              </w:rPr>
            </w:pP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个</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3</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2</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过滤石英砂</w:t>
            </w:r>
          </w:p>
        </w:tc>
        <w:tc>
          <w:tcPr>
            <w:tcW w:w="2769"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国标</w:t>
            </w: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包</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40</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3</w:t>
            </w:r>
          </w:p>
        </w:tc>
        <w:tc>
          <w:tcPr>
            <w:tcW w:w="2402" w:type="dxa"/>
          </w:tcPr>
          <w:p>
            <w:pPr>
              <w:pStyle w:val="2"/>
              <w:jc w:val="center"/>
              <w:rPr>
                <w:rFonts w:hint="default"/>
                <w:sz w:val="24"/>
                <w:szCs w:val="24"/>
                <w:lang w:val="en-US" w:eastAsia="zh-CN"/>
              </w:rPr>
            </w:pPr>
            <w:r>
              <w:rPr>
                <w:rFonts w:hint="eastAsia"/>
                <w:sz w:val="24"/>
                <w:szCs w:val="24"/>
                <w:lang w:val="en-US" w:eastAsia="zh-CN"/>
              </w:rPr>
              <w:t>循环水泵3HP</w:t>
            </w:r>
          </w:p>
        </w:tc>
        <w:tc>
          <w:tcPr>
            <w:tcW w:w="2769"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流量：20M</w:t>
            </w:r>
            <w:r>
              <w:rPr>
                <w:rFonts w:hint="eastAsia"/>
                <w:sz w:val="24"/>
                <w:szCs w:val="24"/>
                <w:vertAlign w:val="superscript"/>
                <w:lang w:val="en-US" w:eastAsia="zh-CN"/>
              </w:rPr>
              <w:t>3</w:t>
            </w:r>
            <w:r>
              <w:rPr>
                <w:rFonts w:hint="eastAsia"/>
                <w:sz w:val="24"/>
                <w:szCs w:val="24"/>
                <w:vertAlign w:val="baseline"/>
                <w:lang w:val="en-US" w:eastAsia="zh-CN"/>
              </w:rPr>
              <w:t>/H，h=15M</w:t>
            </w: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台</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3</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4</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臭氧、氧气一体机</w:t>
            </w:r>
          </w:p>
        </w:tc>
        <w:tc>
          <w:tcPr>
            <w:tcW w:w="2769"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30G</w:t>
            </w: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套</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5</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臭氧增压泵</w:t>
            </w:r>
          </w:p>
        </w:tc>
        <w:tc>
          <w:tcPr>
            <w:tcW w:w="2769"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20M</w:t>
            </w: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套</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6</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臭氧毁灭器</w:t>
            </w:r>
          </w:p>
        </w:tc>
        <w:tc>
          <w:tcPr>
            <w:tcW w:w="2769"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不锈钢材质</w:t>
            </w: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套</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7</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游泳池配电箱</w:t>
            </w:r>
          </w:p>
        </w:tc>
        <w:tc>
          <w:tcPr>
            <w:tcW w:w="2769" w:type="dxa"/>
          </w:tcPr>
          <w:p>
            <w:pPr>
              <w:pStyle w:val="2"/>
              <w:jc w:val="center"/>
              <w:rPr>
                <w:rFonts w:hint="eastAsia"/>
                <w:sz w:val="24"/>
                <w:szCs w:val="24"/>
                <w:vertAlign w:val="baseline"/>
                <w:lang w:val="en-US" w:eastAsia="zh-CN"/>
              </w:rPr>
            </w:pPr>
            <w:r>
              <w:rPr>
                <w:rFonts w:hint="eastAsia"/>
                <w:sz w:val="24"/>
                <w:szCs w:val="24"/>
                <w:vertAlign w:val="baseline"/>
                <w:lang w:val="en-US" w:eastAsia="zh-CN"/>
              </w:rPr>
              <w:t>12KW</w:t>
            </w: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套</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8</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阀门、管件</w:t>
            </w:r>
          </w:p>
        </w:tc>
        <w:tc>
          <w:tcPr>
            <w:tcW w:w="2769" w:type="dxa"/>
          </w:tcPr>
          <w:p>
            <w:pPr>
              <w:pStyle w:val="2"/>
              <w:jc w:val="center"/>
              <w:rPr>
                <w:rFonts w:hint="eastAsia"/>
                <w:sz w:val="24"/>
                <w:szCs w:val="24"/>
                <w:vertAlign w:val="baseline"/>
                <w:lang w:val="en-US" w:eastAsia="zh-CN"/>
              </w:rPr>
            </w:pP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9</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管道、配件及材料</w:t>
            </w:r>
          </w:p>
        </w:tc>
        <w:tc>
          <w:tcPr>
            <w:tcW w:w="2769"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DN50-DN150</w:t>
            </w: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10</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角钢吊支架/含制作/辅材</w:t>
            </w:r>
          </w:p>
        </w:tc>
        <w:tc>
          <w:tcPr>
            <w:tcW w:w="2769" w:type="dxa"/>
          </w:tcPr>
          <w:p>
            <w:pPr>
              <w:pStyle w:val="2"/>
              <w:jc w:val="center"/>
              <w:rPr>
                <w:rFonts w:hint="eastAsia"/>
                <w:sz w:val="24"/>
                <w:szCs w:val="24"/>
                <w:vertAlign w:val="baseline"/>
                <w:lang w:val="en-US" w:eastAsia="zh-CN"/>
              </w:rPr>
            </w:pP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11</w:t>
            </w:r>
          </w:p>
        </w:tc>
        <w:tc>
          <w:tcPr>
            <w:tcW w:w="7363" w:type="dxa"/>
            <w:gridSpan w:val="4"/>
          </w:tcPr>
          <w:p>
            <w:pPr>
              <w:pStyle w:val="2"/>
              <w:jc w:val="center"/>
              <w:rPr>
                <w:rFonts w:hint="default"/>
                <w:sz w:val="24"/>
                <w:szCs w:val="24"/>
                <w:vertAlign w:val="baseline"/>
                <w:lang w:val="en-US" w:eastAsia="zh-CN"/>
              </w:rPr>
            </w:pPr>
            <w:r>
              <w:rPr>
                <w:rFonts w:hint="eastAsia"/>
                <w:sz w:val="24"/>
                <w:szCs w:val="24"/>
                <w:vertAlign w:val="baseline"/>
                <w:lang w:val="en-US" w:eastAsia="zh-CN"/>
              </w:rPr>
              <w:t>合计</w:t>
            </w:r>
          </w:p>
        </w:tc>
        <w:tc>
          <w:tcPr>
            <w:tcW w:w="2678" w:type="dxa"/>
            <w:gridSpan w:val="3"/>
          </w:tcPr>
          <w:p>
            <w:pPr>
              <w:pStyle w:val="2"/>
              <w:jc w:val="center"/>
              <w:rPr>
                <w:rFonts w:hint="eastAsia"/>
                <w:sz w:val="24"/>
                <w:szCs w:val="24"/>
                <w:vertAlign w:val="baseline"/>
                <w:lang w:val="en-US" w:eastAsia="zh-CN"/>
              </w:rPr>
            </w:pPr>
          </w:p>
        </w:tc>
      </w:tr>
    </w:tbl>
    <w:p>
      <w:pPr>
        <w:keepNext w:val="0"/>
        <w:keepLines w:val="0"/>
        <w:pageBreakBefore w:val="0"/>
        <w:widowControl w:val="0"/>
        <w:numPr>
          <w:ilvl w:val="0"/>
          <w:numId w:val="0"/>
        </w:numPr>
        <w:shd w:val="clear" w:color="auto" w:fill="auto"/>
        <w:tabs>
          <w:tab w:val="left" w:pos="582"/>
        </w:tabs>
        <w:kinsoku/>
        <w:wordWrap/>
        <w:overflowPunct/>
        <w:topLinePunct w:val="0"/>
        <w:autoSpaceDE/>
        <w:autoSpaceDN/>
        <w:bidi w:val="0"/>
        <w:adjustRightInd/>
        <w:snapToGrid/>
        <w:spacing w:line="574"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三、备注</w:t>
      </w:r>
    </w:p>
    <w:p>
      <w:pPr>
        <w:pStyle w:val="2"/>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1、报价需包含安装费、调试费、运输费及税费等费用；</w:t>
      </w:r>
    </w:p>
    <w:p>
      <w:pPr>
        <w:pStyle w:val="2"/>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u w:val="none"/>
          <w:lang w:val="en-US" w:eastAsia="zh-CN"/>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2、项目实施周期：</w:t>
      </w:r>
      <w:r>
        <w:rPr>
          <w:rFonts w:hint="eastAsia" w:ascii="仿宋" w:hAnsi="仿宋" w:eastAsia="仿宋" w:cs="仿宋"/>
          <w:b w:val="0"/>
          <w:bCs w:val="0"/>
          <w:color w:val="auto"/>
          <w:spacing w:val="0"/>
          <w:w w:val="100"/>
          <w:position w:val="0"/>
          <w:sz w:val="32"/>
          <w:szCs w:val="32"/>
          <w:u w:val="single" w:color="auto"/>
          <w:shd w:val="clear" w:color="auto" w:fill="auto"/>
          <w:lang w:val="en-US" w:eastAsia="zh-CN" w:bidi="en-US"/>
        </w:rPr>
        <w:t>15</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天内。</w:t>
      </w:r>
    </w:p>
    <w:p>
      <w:pPr>
        <w:keepNext w:val="0"/>
        <w:keepLines w:val="0"/>
        <w:pageBreakBefore w:val="0"/>
        <w:shd w:val="clear" w:color="auto" w:fill="auto"/>
        <w:wordWrap/>
        <w:overflowPunct/>
        <w:topLinePunct w:val="0"/>
        <w:bidi w:val="0"/>
        <w:spacing w:line="540" w:lineRule="exact"/>
        <w:rPr>
          <w:rFonts w:hint="eastAsia" w:ascii="仿宋" w:hAnsi="仿宋" w:eastAsia="仿宋" w:cs="仿宋"/>
          <w:b w:val="0"/>
          <w:bCs w:val="0"/>
          <w:color w:val="auto"/>
          <w:sz w:val="32"/>
          <w:szCs w:val="32"/>
          <w:u w:val="none" w:color="auto"/>
          <w:lang w:val="en-US" w:eastAsia="zh-CN"/>
        </w:rPr>
        <w:sectPr>
          <w:footerReference r:id="rId5" w:type="default"/>
          <w:pgSz w:w="11906" w:h="16838"/>
          <w:pgMar w:top="1440" w:right="1803" w:bottom="1440" w:left="1803" w:header="851" w:footer="992" w:gutter="0"/>
          <w:cols w:space="0" w:num="1"/>
          <w:rtlGutter w:val="0"/>
          <w:docGrid w:type="lines" w:linePitch="332" w:charSpace="0"/>
        </w:sect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附件2：竞标函</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青莲欧洲院子泳池循环系统修复项目</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比选竞标函</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江油蜀游酒店管理公司青莲分公司：</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我方全面研究了“青莲欧洲院子泳池循环系统修复项目比选竞标函”，决定参加贵单位组织的本项目比选，并自觉遵守服务相关规定，遵守服务规则，维护正常的服务秩序。</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1、我方自愿按照比选公告规定的各项要求向采购人提供所需物资及服务，提供的物资及服务等所有权及知识产权等权利无瑕疵。总报价为含税价</w:t>
      </w:r>
      <w:r>
        <w:rPr>
          <w:rFonts w:hint="eastAsia" w:ascii="仿宋" w:hAnsi="仿宋" w:eastAsia="仿宋" w:cs="仿宋"/>
          <w:sz w:val="32"/>
          <w:szCs w:val="32"/>
          <w:u w:val="single"/>
          <w:lang w:val="en-US" w:eastAsia="zh-CN"/>
        </w:rPr>
        <w:t>人民币       万元（大写：        ）</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2、一旦我方成交，我方将严格履行合同规定的责任和义务，保证于合同约定日期内完成项目的履约，并交付采购人验收、使用。</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3、我方对提供资料的真实性负责。如经查实我公司提供的资料存在虚假，我方愿意接受以提供虚假材料谋取中标追究法律责任。</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附件1：项目报价清单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 w:hAnsi="仿宋" w:eastAsia="仿宋" w:cs="仿宋"/>
          <w:sz w:val="32"/>
          <w:szCs w:val="32"/>
          <w:u w:val="none"/>
          <w:lang w:val="en-US" w:eastAsia="zh-CN"/>
        </w:rPr>
        <w:t>附件2：合同主要条款</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center"/>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投标方：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right"/>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righ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投标时间：  年  月  日</w:t>
      </w:r>
    </w:p>
    <w:p>
      <w:pPr>
        <w:pStyle w:val="2"/>
        <w:shd w:val="clear" w:color="auto" w:fill="auto"/>
        <w:rPr>
          <w:rFonts w:hint="eastAsia" w:ascii="仿宋" w:hAnsi="仿宋" w:eastAsia="仿宋" w:cs="仿宋"/>
          <w:sz w:val="32"/>
          <w:szCs w:val="32"/>
          <w:u w:val="none"/>
          <w:lang w:val="en-US" w:eastAsia="zh-CN"/>
        </w:rPr>
        <w:sectPr>
          <w:pgSz w:w="11906" w:h="16838"/>
          <w:pgMar w:top="1440" w:right="1803" w:bottom="1440" w:left="1803" w:header="851" w:footer="992" w:gutter="0"/>
          <w:cols w:space="0" w:num="1"/>
          <w:rtlGutter w:val="0"/>
          <w:docGrid w:type="lines" w:linePitch="332" w:charSpace="0"/>
        </w:sectPr>
      </w:pPr>
    </w:p>
    <w:p>
      <w:pPr>
        <w:pStyle w:val="2"/>
        <w:shd w:val="clear" w:color="auto" w:fil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附件1：项目报价清单</w:t>
      </w:r>
    </w:p>
    <w:p>
      <w:pPr>
        <w:keepNext w:val="0"/>
        <w:keepLines w:val="0"/>
        <w:pageBreakBefore w:val="0"/>
        <w:widowControl w:val="0"/>
        <w:numPr>
          <w:ilvl w:val="0"/>
          <w:numId w:val="0"/>
        </w:numPr>
        <w:shd w:val="clear" w:color="auto" w:fill="auto"/>
        <w:tabs>
          <w:tab w:val="left" w:pos="582"/>
        </w:tabs>
        <w:kinsoku/>
        <w:wordWrap/>
        <w:overflowPunct/>
        <w:topLinePunct w:val="0"/>
        <w:autoSpaceDE/>
        <w:autoSpaceDN/>
        <w:bidi w:val="0"/>
        <w:adjustRightInd/>
        <w:snapToGrid/>
        <w:spacing w:line="574" w:lineRule="exact"/>
        <w:ind w:right="0" w:rightChars="0" w:firstLine="643" w:firstLineChars="200"/>
        <w:jc w:val="center"/>
        <w:textAlignment w:val="auto"/>
        <w:rPr>
          <w:rFonts w:hint="eastAsia" w:ascii="仿宋" w:hAnsi="仿宋" w:eastAsia="仿宋" w:cs="仿宋"/>
          <w:b/>
          <w:bCs/>
          <w:sz w:val="32"/>
          <w:szCs w:val="32"/>
          <w:u w:val="none" w:color="auto"/>
          <w:lang w:val="en-US" w:eastAsia="zh-CN"/>
        </w:rPr>
      </w:pPr>
      <w:r>
        <w:rPr>
          <w:rFonts w:hint="eastAsia" w:ascii="仿宋" w:hAnsi="仿宋" w:eastAsia="仿宋" w:cs="仿宋"/>
          <w:b/>
          <w:bCs/>
          <w:sz w:val="32"/>
          <w:szCs w:val="32"/>
          <w:u w:val="none" w:color="auto"/>
          <w:lang w:val="en-US" w:eastAsia="zh-CN"/>
        </w:rPr>
        <w:t>报价清单</w:t>
      </w:r>
    </w:p>
    <w:tbl>
      <w:tblPr>
        <w:tblStyle w:val="5"/>
        <w:tblW w:w="10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402"/>
        <w:gridCol w:w="2769"/>
        <w:gridCol w:w="1177"/>
        <w:gridCol w:w="1015"/>
        <w:gridCol w:w="877"/>
        <w:gridCol w:w="935"/>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序号</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设备名称</w:t>
            </w:r>
          </w:p>
        </w:tc>
        <w:tc>
          <w:tcPr>
            <w:tcW w:w="2769"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设备参数</w:t>
            </w:r>
          </w:p>
        </w:tc>
        <w:tc>
          <w:tcPr>
            <w:tcW w:w="11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品牌</w:t>
            </w: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单位</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数量</w:t>
            </w:r>
          </w:p>
        </w:tc>
        <w:tc>
          <w:tcPr>
            <w:tcW w:w="93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单价</w:t>
            </w:r>
          </w:p>
        </w:tc>
        <w:tc>
          <w:tcPr>
            <w:tcW w:w="866"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更换石英砂</w:t>
            </w:r>
          </w:p>
        </w:tc>
        <w:tc>
          <w:tcPr>
            <w:tcW w:w="2769" w:type="dxa"/>
          </w:tcPr>
          <w:p>
            <w:pPr>
              <w:pStyle w:val="2"/>
              <w:jc w:val="center"/>
              <w:rPr>
                <w:rFonts w:hint="default"/>
                <w:sz w:val="24"/>
                <w:szCs w:val="24"/>
                <w:vertAlign w:val="baseline"/>
                <w:lang w:val="en-US" w:eastAsia="zh-CN"/>
              </w:rPr>
            </w:pP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个</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3</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2</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过滤石英砂</w:t>
            </w:r>
          </w:p>
        </w:tc>
        <w:tc>
          <w:tcPr>
            <w:tcW w:w="2769"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国标</w:t>
            </w: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包</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40</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3</w:t>
            </w:r>
          </w:p>
        </w:tc>
        <w:tc>
          <w:tcPr>
            <w:tcW w:w="2402" w:type="dxa"/>
          </w:tcPr>
          <w:p>
            <w:pPr>
              <w:pStyle w:val="2"/>
              <w:jc w:val="center"/>
              <w:rPr>
                <w:rFonts w:hint="default"/>
                <w:sz w:val="24"/>
                <w:szCs w:val="24"/>
                <w:lang w:val="en-US" w:eastAsia="zh-CN"/>
              </w:rPr>
            </w:pPr>
            <w:r>
              <w:rPr>
                <w:rFonts w:hint="eastAsia"/>
                <w:sz w:val="24"/>
                <w:szCs w:val="24"/>
                <w:lang w:val="en-US" w:eastAsia="zh-CN"/>
              </w:rPr>
              <w:t>循环水泵3HP</w:t>
            </w:r>
          </w:p>
        </w:tc>
        <w:tc>
          <w:tcPr>
            <w:tcW w:w="2769"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流量：20M</w:t>
            </w:r>
            <w:r>
              <w:rPr>
                <w:rFonts w:hint="eastAsia"/>
                <w:sz w:val="24"/>
                <w:szCs w:val="24"/>
                <w:vertAlign w:val="superscript"/>
                <w:lang w:val="en-US" w:eastAsia="zh-CN"/>
              </w:rPr>
              <w:t>3</w:t>
            </w:r>
            <w:r>
              <w:rPr>
                <w:rFonts w:hint="eastAsia"/>
                <w:sz w:val="24"/>
                <w:szCs w:val="24"/>
                <w:vertAlign w:val="baseline"/>
                <w:lang w:val="en-US" w:eastAsia="zh-CN"/>
              </w:rPr>
              <w:t>/H，h=15M</w:t>
            </w: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台</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3</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4</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臭氧、氧气一体机</w:t>
            </w:r>
          </w:p>
        </w:tc>
        <w:tc>
          <w:tcPr>
            <w:tcW w:w="2769"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30G</w:t>
            </w: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套</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5</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臭氧增压泵</w:t>
            </w:r>
          </w:p>
        </w:tc>
        <w:tc>
          <w:tcPr>
            <w:tcW w:w="2769"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20M</w:t>
            </w: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套</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6</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臭氧毁灭器</w:t>
            </w:r>
          </w:p>
        </w:tc>
        <w:tc>
          <w:tcPr>
            <w:tcW w:w="2769"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不锈钢材质</w:t>
            </w: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套</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7</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游泳池配电箱</w:t>
            </w:r>
          </w:p>
        </w:tc>
        <w:tc>
          <w:tcPr>
            <w:tcW w:w="2769" w:type="dxa"/>
          </w:tcPr>
          <w:p>
            <w:pPr>
              <w:pStyle w:val="2"/>
              <w:jc w:val="center"/>
              <w:rPr>
                <w:rFonts w:hint="eastAsia"/>
                <w:sz w:val="24"/>
                <w:szCs w:val="24"/>
                <w:vertAlign w:val="baseline"/>
                <w:lang w:val="en-US" w:eastAsia="zh-CN"/>
              </w:rPr>
            </w:pPr>
            <w:r>
              <w:rPr>
                <w:rFonts w:hint="eastAsia"/>
                <w:sz w:val="24"/>
                <w:szCs w:val="24"/>
                <w:vertAlign w:val="baseline"/>
                <w:lang w:val="en-US" w:eastAsia="zh-CN"/>
              </w:rPr>
              <w:t>12KW</w:t>
            </w: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套</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8</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阀门、管件</w:t>
            </w:r>
          </w:p>
        </w:tc>
        <w:tc>
          <w:tcPr>
            <w:tcW w:w="2769" w:type="dxa"/>
          </w:tcPr>
          <w:p>
            <w:pPr>
              <w:pStyle w:val="2"/>
              <w:jc w:val="center"/>
              <w:rPr>
                <w:rFonts w:hint="eastAsia"/>
                <w:sz w:val="24"/>
                <w:szCs w:val="24"/>
                <w:vertAlign w:val="baseline"/>
                <w:lang w:val="en-US" w:eastAsia="zh-CN"/>
              </w:rPr>
            </w:pP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9</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管道、配件及材料</w:t>
            </w:r>
          </w:p>
        </w:tc>
        <w:tc>
          <w:tcPr>
            <w:tcW w:w="2769"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DN50-DN150</w:t>
            </w: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10</w:t>
            </w:r>
          </w:p>
        </w:tc>
        <w:tc>
          <w:tcPr>
            <w:tcW w:w="2402"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角钢吊支架/含制作/辅材</w:t>
            </w:r>
          </w:p>
        </w:tc>
        <w:tc>
          <w:tcPr>
            <w:tcW w:w="2769" w:type="dxa"/>
          </w:tcPr>
          <w:p>
            <w:pPr>
              <w:pStyle w:val="2"/>
              <w:jc w:val="center"/>
              <w:rPr>
                <w:rFonts w:hint="eastAsia"/>
                <w:sz w:val="24"/>
                <w:szCs w:val="24"/>
                <w:vertAlign w:val="baseline"/>
                <w:lang w:val="en-US" w:eastAsia="zh-CN"/>
              </w:rPr>
            </w:pPr>
          </w:p>
        </w:tc>
        <w:tc>
          <w:tcPr>
            <w:tcW w:w="1177" w:type="dxa"/>
          </w:tcPr>
          <w:p>
            <w:pPr>
              <w:pStyle w:val="2"/>
              <w:jc w:val="center"/>
              <w:rPr>
                <w:rFonts w:hint="eastAsia"/>
                <w:sz w:val="24"/>
                <w:szCs w:val="24"/>
                <w:vertAlign w:val="baseline"/>
                <w:lang w:val="en-US" w:eastAsia="zh-CN"/>
              </w:rPr>
            </w:pPr>
          </w:p>
        </w:tc>
        <w:tc>
          <w:tcPr>
            <w:tcW w:w="101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877"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35" w:type="dxa"/>
          </w:tcPr>
          <w:p>
            <w:pPr>
              <w:pStyle w:val="2"/>
              <w:jc w:val="center"/>
              <w:rPr>
                <w:rFonts w:hint="eastAsia"/>
                <w:sz w:val="24"/>
                <w:szCs w:val="24"/>
                <w:vertAlign w:val="baseline"/>
                <w:lang w:val="en-US" w:eastAsia="zh-CN"/>
              </w:rPr>
            </w:pPr>
          </w:p>
        </w:tc>
        <w:tc>
          <w:tcPr>
            <w:tcW w:w="866" w:type="dxa"/>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11</w:t>
            </w:r>
          </w:p>
        </w:tc>
        <w:tc>
          <w:tcPr>
            <w:tcW w:w="7363" w:type="dxa"/>
            <w:gridSpan w:val="4"/>
          </w:tcPr>
          <w:p>
            <w:pPr>
              <w:pStyle w:val="2"/>
              <w:jc w:val="center"/>
              <w:rPr>
                <w:rFonts w:hint="default"/>
                <w:sz w:val="24"/>
                <w:szCs w:val="24"/>
                <w:vertAlign w:val="baseline"/>
                <w:lang w:val="en-US" w:eastAsia="zh-CN"/>
              </w:rPr>
            </w:pPr>
            <w:r>
              <w:rPr>
                <w:rFonts w:hint="eastAsia"/>
                <w:sz w:val="24"/>
                <w:szCs w:val="24"/>
                <w:vertAlign w:val="baseline"/>
                <w:lang w:val="en-US" w:eastAsia="zh-CN"/>
              </w:rPr>
              <w:t>合计</w:t>
            </w:r>
          </w:p>
        </w:tc>
        <w:tc>
          <w:tcPr>
            <w:tcW w:w="2678" w:type="dxa"/>
            <w:gridSpan w:val="3"/>
          </w:tcPr>
          <w:p>
            <w:pPr>
              <w:pStyle w:val="2"/>
              <w:jc w:val="center"/>
              <w:rPr>
                <w:rFonts w:hint="eastAsia"/>
                <w:sz w:val="24"/>
                <w:szCs w:val="24"/>
                <w:vertAlign w:val="baseline"/>
                <w:lang w:val="en-US" w:eastAsia="zh-CN"/>
              </w:rPr>
            </w:pPr>
          </w:p>
        </w:tc>
      </w:tr>
    </w:tbl>
    <w:p>
      <w:pPr>
        <w:pStyle w:val="2"/>
        <w:rPr>
          <w:rFonts w:hint="default"/>
          <w:lang w:val="en-US" w:eastAsia="zh-CN"/>
        </w:rPr>
        <w:sectPr>
          <w:pgSz w:w="11906" w:h="16838"/>
          <w:pgMar w:top="1440" w:right="1803" w:bottom="1440" w:left="1803" w:header="851" w:footer="992" w:gutter="0"/>
          <w:cols w:space="0" w:num="1"/>
          <w:rtlGutter w:val="0"/>
          <w:docGrid w:type="lines" w:linePitch="332" w:charSpace="0"/>
        </w:sectPr>
      </w:pPr>
    </w:p>
    <w:p>
      <w:pPr>
        <w:keepNext w:val="0"/>
        <w:keepLines w:val="0"/>
        <w:pageBreakBefore w:val="0"/>
        <w:kinsoku/>
        <w:wordWrap/>
        <w:overflowPunct/>
        <w:topLinePunct w:val="0"/>
        <w:autoSpaceDE/>
        <w:autoSpaceDN/>
        <w:bidi w:val="0"/>
        <w:adjustRightInd/>
        <w:snapToGrid/>
        <w:spacing w:line="574" w:lineRule="exact"/>
        <w:jc w:val="left"/>
        <w:textAlignment w:val="auto"/>
        <w:rPr>
          <w:rFonts w:hint="eastAsia" w:ascii="方正小标宋简体" w:hAnsi="方正小标宋简体" w:eastAsia="方正小标宋简体" w:cs="方正小标宋简体"/>
          <w:b w:val="0"/>
          <w:bCs w:val="0"/>
          <w:sz w:val="44"/>
          <w:szCs w:val="44"/>
        </w:rPr>
      </w:pPr>
      <w:r>
        <w:rPr>
          <w:rFonts w:hint="eastAsia" w:ascii="仿宋" w:hAnsi="仿宋" w:eastAsia="仿宋" w:cs="仿宋"/>
          <w:sz w:val="32"/>
          <w:szCs w:val="32"/>
          <w:u w:val="none"/>
          <w:lang w:val="en-US" w:eastAsia="zh-CN"/>
        </w:rPr>
        <w:t>附件2：合同主要条款</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青莲欧洲院子游泳池设备维修</w:t>
      </w:r>
    </w:p>
    <w:p>
      <w:pPr>
        <w:keepNext w:val="0"/>
        <w:keepLines w:val="0"/>
        <w:pageBreakBefore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维修</w:t>
      </w:r>
      <w:r>
        <w:rPr>
          <w:rFonts w:hint="eastAsia" w:ascii="方正小标宋简体" w:hAnsi="方正小标宋简体" w:eastAsia="方正小标宋简体" w:cs="方正小标宋简体"/>
          <w:b w:val="0"/>
          <w:bCs w:val="0"/>
          <w:sz w:val="44"/>
          <w:szCs w:val="44"/>
        </w:rPr>
        <w:t>合同</w:t>
      </w:r>
    </w:p>
    <w:p>
      <w:pPr>
        <w:spacing w:line="60" w:lineRule="atLeast"/>
        <w:jc w:val="left"/>
        <w:rPr>
          <w:rFonts w:ascii="宋体" w:hAnsi="宋体" w:cs="宋体"/>
          <w:sz w:val="24"/>
        </w:rPr>
      </w:pPr>
    </w:p>
    <w:p>
      <w:pPr>
        <w:spacing w:line="60" w:lineRule="atLeast"/>
        <w:ind w:firstLine="480" w:firstLineChars="200"/>
        <w:jc w:val="left"/>
        <w:rPr>
          <w:rFonts w:ascii="宋体" w:hAnsi="宋体"/>
          <w:b/>
          <w:bCs/>
          <w:color w:val="000000"/>
          <w:sz w:val="24"/>
        </w:rPr>
      </w:pPr>
      <w:r>
        <w:rPr>
          <w:rFonts w:hint="eastAsia" w:ascii="宋体" w:hAnsi="宋体" w:cs="宋体"/>
          <w:sz w:val="24"/>
        </w:rPr>
        <w:t>甲乙双方均为依据中华人民共和国法律成立并在中国境内合法注册、经营及有效存续的公司，具有签署本合同主体资格。《中华人民共和国民法典》及其他有关法律、行政法规</w:t>
      </w:r>
      <w:r>
        <w:rPr>
          <w:rFonts w:ascii="宋体" w:hAnsi="宋体" w:cs="??"/>
          <w:sz w:val="24"/>
        </w:rPr>
        <w:t>,</w:t>
      </w:r>
      <w:r>
        <w:rPr>
          <w:rFonts w:hint="eastAsia" w:ascii="宋体" w:hAnsi="宋体" w:cs="宋体"/>
          <w:sz w:val="24"/>
        </w:rPr>
        <w:t>遵循平等、自愿、公平和诚实信用的原则，甲、乙双方就</w:t>
      </w:r>
      <w:r>
        <w:rPr>
          <w:rFonts w:hint="eastAsia" w:ascii="宋体" w:hAnsi="宋体" w:cs="宋体"/>
          <w:sz w:val="24"/>
          <w:u w:val="single"/>
        </w:rPr>
        <w:t>游泳池设备维修</w:t>
      </w:r>
      <w:r>
        <w:rPr>
          <w:rFonts w:hint="eastAsia" w:ascii="宋体" w:hAnsi="宋体" w:cs="黑体"/>
          <w:bCs/>
          <w:color w:val="000000"/>
          <w:sz w:val="24"/>
        </w:rPr>
        <w:t>服务合同</w:t>
      </w:r>
      <w:r>
        <w:rPr>
          <w:rFonts w:hint="eastAsia" w:ascii="宋体" w:hAnsi="宋体" w:cs="宋体"/>
          <w:sz w:val="24"/>
        </w:rPr>
        <w:t>的有关事宜，达成如下协议条款，供双方遵守执行：</w:t>
      </w:r>
    </w:p>
    <w:p>
      <w:pPr>
        <w:spacing w:line="440" w:lineRule="exact"/>
        <w:rPr>
          <w:rFonts w:ascii="宋体" w:hAnsi="宋体" w:cs="??"/>
          <w:sz w:val="24"/>
        </w:rPr>
      </w:pPr>
      <w:r>
        <w:rPr>
          <w:rFonts w:hint="eastAsia" w:ascii="宋体" w:hAnsi="宋体" w:cs="宋体"/>
          <w:b/>
          <w:bCs/>
          <w:sz w:val="24"/>
        </w:rPr>
        <w:t>第一条</w:t>
      </w:r>
      <w:r>
        <w:rPr>
          <w:rFonts w:ascii="宋体" w:hAnsi="宋体" w:cs="??"/>
          <w:b/>
          <w:bCs/>
          <w:sz w:val="24"/>
        </w:rPr>
        <w:t xml:space="preserve">  </w:t>
      </w:r>
      <w:r>
        <w:rPr>
          <w:rFonts w:hint="eastAsia" w:ascii="宋体" w:hAnsi="宋体" w:cs="宋体"/>
          <w:b/>
          <w:bCs/>
          <w:sz w:val="24"/>
        </w:rPr>
        <w:t>概况</w:t>
      </w:r>
      <w:r>
        <w:rPr>
          <w:rFonts w:ascii="宋体" w:hAnsi="宋体" w:cs="??"/>
          <w:b/>
          <w:bCs/>
          <w:sz w:val="24"/>
        </w:rPr>
        <w:t xml:space="preserve"> </w:t>
      </w:r>
      <w:r>
        <w:rPr>
          <w:rFonts w:ascii="宋体" w:hAnsi="宋体" w:cs="??"/>
          <w:sz w:val="24"/>
        </w:rPr>
        <w:t xml:space="preserve">                                    </w:t>
      </w:r>
    </w:p>
    <w:p>
      <w:pPr>
        <w:spacing w:line="60" w:lineRule="atLeast"/>
        <w:ind w:firstLine="480" w:firstLineChars="200"/>
        <w:jc w:val="left"/>
        <w:rPr>
          <w:rFonts w:ascii="宋体" w:hAnsi="宋体" w:eastAsia="宋体"/>
          <w:b/>
          <w:sz w:val="28"/>
          <w:szCs w:val="28"/>
          <w:u w:val="single"/>
        </w:rPr>
      </w:pPr>
      <w:r>
        <w:rPr>
          <w:rFonts w:ascii="宋体" w:hAnsi="宋体" w:cs="??"/>
          <w:sz w:val="24"/>
        </w:rPr>
        <w:t>1</w:t>
      </w:r>
      <w:r>
        <w:rPr>
          <w:rFonts w:hint="eastAsia" w:ascii="宋体" w:hAnsi="宋体" w:cs="宋体"/>
          <w:sz w:val="24"/>
        </w:rPr>
        <w:t>、项目名称：</w:t>
      </w:r>
      <w:r>
        <w:rPr>
          <w:rFonts w:hint="eastAsia" w:ascii="宋体" w:hAnsi="宋体" w:eastAsia="宋体" w:cs="宋体"/>
          <w:sz w:val="24"/>
        </w:rPr>
        <w:t>青莲欧洲院子游泳池设备维修及更换</w:t>
      </w:r>
    </w:p>
    <w:p>
      <w:pPr>
        <w:spacing w:line="440" w:lineRule="exact"/>
        <w:ind w:firstLine="480" w:firstLineChars="200"/>
        <w:rPr>
          <w:rFonts w:ascii="宋体" w:hAnsi="宋体" w:cs="宋体"/>
          <w:sz w:val="24"/>
        </w:rPr>
      </w:pPr>
      <w:r>
        <w:rPr>
          <w:rFonts w:ascii="宋体" w:hAnsi="宋体" w:cs="??"/>
          <w:sz w:val="24"/>
        </w:rPr>
        <w:t>2</w:t>
      </w:r>
      <w:r>
        <w:rPr>
          <w:rFonts w:hint="eastAsia" w:ascii="宋体" w:hAnsi="宋体" w:cs="宋体"/>
          <w:sz w:val="24"/>
        </w:rPr>
        <w:t>、项目地点：江油青莲</w:t>
      </w:r>
    </w:p>
    <w:p>
      <w:pPr>
        <w:spacing w:line="440" w:lineRule="exact"/>
        <w:ind w:firstLine="480" w:firstLineChars="200"/>
        <w:rPr>
          <w:rFonts w:ascii="宋体" w:hAnsi="宋体" w:cs="??"/>
          <w:sz w:val="24"/>
        </w:rPr>
      </w:pPr>
      <w:r>
        <w:rPr>
          <w:rFonts w:ascii="宋体" w:hAnsi="宋体" w:cs="??"/>
          <w:sz w:val="24"/>
        </w:rPr>
        <w:t>3</w:t>
      </w:r>
      <w:r>
        <w:rPr>
          <w:rFonts w:hint="eastAsia" w:ascii="宋体" w:hAnsi="宋体" w:cs="宋体"/>
          <w:sz w:val="24"/>
        </w:rPr>
        <w:t>、项目内容</w:t>
      </w:r>
      <w:r>
        <w:rPr>
          <w:rFonts w:hint="eastAsia" w:ascii="宋体" w:hAnsi="宋体" w:cs="宋体"/>
          <w:sz w:val="24"/>
          <w:u w:val="single"/>
        </w:rPr>
        <w:t>：游泳池设备维修；</w:t>
      </w:r>
    </w:p>
    <w:p>
      <w:pPr>
        <w:spacing w:line="440" w:lineRule="exact"/>
        <w:rPr>
          <w:rFonts w:ascii="宋体" w:hAnsi="宋体" w:cs="??"/>
          <w:b/>
          <w:bCs/>
          <w:sz w:val="24"/>
        </w:rPr>
      </w:pPr>
      <w:r>
        <w:rPr>
          <w:rFonts w:hint="eastAsia" w:ascii="宋体" w:hAnsi="宋体" w:cs="宋体"/>
          <w:b/>
          <w:bCs/>
          <w:sz w:val="24"/>
        </w:rPr>
        <w:t>第二条</w:t>
      </w:r>
      <w:r>
        <w:rPr>
          <w:rFonts w:ascii="宋体" w:hAnsi="宋体" w:cs="??"/>
          <w:b/>
          <w:bCs/>
          <w:sz w:val="24"/>
        </w:rPr>
        <w:t xml:space="preserve">  </w:t>
      </w:r>
      <w:r>
        <w:rPr>
          <w:rFonts w:hint="eastAsia" w:ascii="宋体" w:hAnsi="宋体" w:cs="宋体"/>
          <w:b/>
          <w:bCs/>
          <w:sz w:val="24"/>
        </w:rPr>
        <w:t>安装期限</w:t>
      </w:r>
    </w:p>
    <w:p>
      <w:pPr>
        <w:spacing w:line="440" w:lineRule="exact"/>
        <w:ind w:firstLine="480" w:firstLineChars="200"/>
        <w:rPr>
          <w:rFonts w:ascii="宋体" w:hAnsi="宋体" w:cs="??"/>
          <w:sz w:val="24"/>
        </w:rPr>
      </w:pPr>
      <w:r>
        <w:rPr>
          <w:rFonts w:ascii="宋体" w:hAnsi="宋体" w:cs="??"/>
          <w:sz w:val="24"/>
        </w:rPr>
        <w:t>1</w:t>
      </w:r>
      <w:r>
        <w:rPr>
          <w:rFonts w:hint="eastAsia" w:ascii="宋体" w:hAnsi="宋体" w:cs="宋体"/>
          <w:sz w:val="24"/>
        </w:rPr>
        <w:t>、本项目维修时间暂定为15天（自甲方通知施工之日算起）。</w:t>
      </w:r>
    </w:p>
    <w:p>
      <w:pPr>
        <w:pStyle w:val="7"/>
        <w:numPr>
          <w:ilvl w:val="0"/>
          <w:numId w:val="0"/>
        </w:numPr>
        <w:spacing w:before="156"/>
        <w:ind w:firstLine="480" w:firstLineChars="200"/>
        <w:rPr>
          <w:rFonts w:cs="宋体"/>
          <w:sz w:val="24"/>
        </w:rPr>
      </w:pPr>
      <w:r>
        <w:rPr>
          <w:rFonts w:hint="eastAsia" w:cs="宋体"/>
          <w:sz w:val="24"/>
          <w:szCs w:val="24"/>
        </w:rPr>
        <w:t>2、合同签订且定金支付至乙方账户后，乙方安排货物订购，并分批发货。</w:t>
      </w:r>
    </w:p>
    <w:p>
      <w:pPr>
        <w:spacing w:line="440" w:lineRule="exact"/>
        <w:ind w:firstLine="480" w:firstLineChars="200"/>
        <w:rPr>
          <w:rFonts w:ascii="宋体" w:hAnsi="宋体" w:cs="??"/>
          <w:sz w:val="24"/>
        </w:rPr>
      </w:pPr>
      <w:r>
        <w:rPr>
          <w:rFonts w:hint="eastAsia" w:ascii="宋体" w:hAnsi="宋体" w:cs="宋体"/>
          <w:sz w:val="24"/>
        </w:rPr>
        <w:t>3、如遇下列情况，乙方安装时间相应顺延，并不承担因逾期安装所产生的任何违约、补偿、赔偿责任。</w:t>
      </w:r>
    </w:p>
    <w:p>
      <w:pPr>
        <w:spacing w:line="440" w:lineRule="exact"/>
        <w:ind w:firstLine="480" w:firstLineChars="200"/>
        <w:rPr>
          <w:rFonts w:ascii="宋体" w:hAnsi="宋体" w:cs="??"/>
          <w:sz w:val="24"/>
        </w:rPr>
      </w:pPr>
      <w:r>
        <w:rPr>
          <w:rFonts w:hint="eastAsia" w:ascii="宋体" w:hAnsi="宋体" w:cs="宋体"/>
          <w:sz w:val="24"/>
        </w:rPr>
        <w:t>（</w:t>
      </w:r>
      <w:r>
        <w:rPr>
          <w:rFonts w:ascii="宋体" w:hAnsi="宋体" w:cs="??"/>
          <w:sz w:val="24"/>
        </w:rPr>
        <w:t>1</w:t>
      </w:r>
      <w:r>
        <w:rPr>
          <w:rFonts w:hint="eastAsia" w:ascii="宋体" w:hAnsi="宋体" w:cs="宋体"/>
          <w:sz w:val="24"/>
        </w:rPr>
        <w:t>）非因乙方原因，造成安装条件不成熟，比如安装场地不符合乙方安装要求，甲方不配合协助乙方安装；</w:t>
      </w:r>
    </w:p>
    <w:p>
      <w:pPr>
        <w:spacing w:line="440" w:lineRule="exact"/>
        <w:ind w:firstLine="480" w:firstLineChars="200"/>
        <w:rPr>
          <w:rFonts w:ascii="宋体" w:hAnsi="宋体" w:cs="??"/>
          <w:sz w:val="24"/>
        </w:rPr>
      </w:pPr>
      <w:r>
        <w:rPr>
          <w:rFonts w:hint="eastAsia" w:ascii="宋体" w:hAnsi="宋体" w:cs="宋体"/>
          <w:sz w:val="24"/>
        </w:rPr>
        <w:t>（</w:t>
      </w:r>
      <w:r>
        <w:rPr>
          <w:rFonts w:ascii="宋体" w:hAnsi="宋体" w:cs="??"/>
          <w:sz w:val="24"/>
        </w:rPr>
        <w:t>2</w:t>
      </w:r>
      <w:r>
        <w:rPr>
          <w:rFonts w:hint="eastAsia" w:ascii="宋体" w:hAnsi="宋体" w:cs="宋体"/>
          <w:sz w:val="24"/>
        </w:rPr>
        <w:t>）安装期间大面积停电、停气、停水；</w:t>
      </w:r>
    </w:p>
    <w:p>
      <w:pPr>
        <w:spacing w:line="440" w:lineRule="exact"/>
        <w:ind w:firstLine="480" w:firstLineChars="200"/>
        <w:rPr>
          <w:rFonts w:ascii="宋体" w:hAnsi="宋体" w:cs="??"/>
          <w:sz w:val="24"/>
        </w:rPr>
      </w:pPr>
      <w:r>
        <w:rPr>
          <w:rFonts w:hint="eastAsia" w:ascii="宋体" w:hAnsi="宋体" w:cs="宋体"/>
          <w:sz w:val="24"/>
        </w:rPr>
        <w:t>（</w:t>
      </w:r>
      <w:r>
        <w:rPr>
          <w:rFonts w:ascii="宋体" w:hAnsi="宋体" w:cs="??"/>
          <w:sz w:val="24"/>
        </w:rPr>
        <w:t>3</w:t>
      </w:r>
      <w:r>
        <w:rPr>
          <w:rFonts w:hint="eastAsia" w:ascii="宋体" w:hAnsi="宋体" w:cs="宋体"/>
          <w:sz w:val="24"/>
        </w:rPr>
        <w:t>）设备安装设计有重大调整或变更；</w:t>
      </w:r>
    </w:p>
    <w:p>
      <w:pPr>
        <w:spacing w:line="440" w:lineRule="exact"/>
        <w:ind w:firstLine="480" w:firstLineChars="200"/>
        <w:rPr>
          <w:rFonts w:ascii="宋体" w:hAnsi="宋体" w:cs="??"/>
          <w:sz w:val="24"/>
        </w:rPr>
      </w:pPr>
      <w:r>
        <w:rPr>
          <w:rFonts w:hint="eastAsia" w:ascii="宋体" w:hAnsi="宋体" w:cs="宋体"/>
          <w:sz w:val="24"/>
        </w:rPr>
        <w:t>（</w:t>
      </w:r>
      <w:r>
        <w:rPr>
          <w:rFonts w:ascii="宋体" w:hAnsi="宋体" w:cs="??"/>
          <w:sz w:val="24"/>
        </w:rPr>
        <w:t>4</w:t>
      </w:r>
      <w:r>
        <w:rPr>
          <w:rFonts w:hint="eastAsia" w:ascii="宋体" w:hAnsi="宋体" w:cs="宋体"/>
          <w:sz w:val="24"/>
        </w:rPr>
        <w:t>）因不可抗力影响工程安装进度的其它原因。</w:t>
      </w:r>
    </w:p>
    <w:p>
      <w:pPr>
        <w:spacing w:line="440" w:lineRule="exact"/>
        <w:rPr>
          <w:rFonts w:ascii="宋体" w:hAnsi="宋体" w:cs="??"/>
          <w:b/>
          <w:bCs/>
          <w:sz w:val="24"/>
        </w:rPr>
      </w:pPr>
      <w:r>
        <w:rPr>
          <w:rFonts w:hint="eastAsia" w:ascii="宋体" w:hAnsi="宋体" w:cs="宋体"/>
          <w:b/>
          <w:bCs/>
          <w:sz w:val="24"/>
        </w:rPr>
        <w:t>第三条</w:t>
      </w:r>
      <w:r>
        <w:rPr>
          <w:rFonts w:ascii="宋体" w:hAnsi="宋体" w:cs="??"/>
          <w:b/>
          <w:bCs/>
          <w:sz w:val="24"/>
        </w:rPr>
        <w:t xml:space="preserve">  </w:t>
      </w:r>
      <w:r>
        <w:rPr>
          <w:rFonts w:hint="eastAsia" w:ascii="宋体" w:hAnsi="宋体" w:cs="宋体"/>
          <w:b/>
          <w:bCs/>
          <w:sz w:val="24"/>
        </w:rPr>
        <w:t>付款方式及税票</w:t>
      </w:r>
    </w:p>
    <w:p>
      <w:pPr>
        <w:ind w:left="960" w:hanging="960" w:hangingChars="400"/>
        <w:rPr>
          <w:rFonts w:ascii="宋体" w:hAnsi="宋体"/>
          <w:color w:val="000000"/>
          <w:kern w:val="0"/>
          <w:sz w:val="24"/>
          <w:shd w:val="clear" w:color="auto" w:fill="FFFFFF"/>
        </w:rPr>
      </w:pPr>
      <w:r>
        <w:rPr>
          <w:rFonts w:ascii="宋体" w:hAnsi="宋体" w:cs="宋体"/>
          <w:color w:val="000000"/>
          <w:sz w:val="24"/>
        </w:rPr>
        <w:t>1</w:t>
      </w:r>
      <w:r>
        <w:rPr>
          <w:rFonts w:hint="eastAsia" w:ascii="宋体" w:hAnsi="宋体" w:cs="宋体"/>
          <w:color w:val="000000"/>
          <w:sz w:val="24"/>
        </w:rPr>
        <w:t>、本工程为总价包干合同</w:t>
      </w:r>
      <w:r>
        <w:rPr>
          <w:rFonts w:hint="eastAsia" w:ascii="宋体" w:hAnsi="宋体" w:cs="宋体"/>
          <w:color w:val="000000"/>
          <w:kern w:val="0"/>
          <w:sz w:val="24"/>
          <w:shd w:val="clear" w:color="auto" w:fill="FFFFFF"/>
        </w:rPr>
        <w:t>：合同总价为</w:t>
      </w:r>
      <w:r>
        <w:rPr>
          <w:rFonts w:hint="eastAsia" w:ascii="宋体" w:hAnsi="宋体" w:cs="宋体"/>
          <w:color w:val="000000"/>
          <w:kern w:val="0"/>
          <w:sz w:val="24"/>
          <w:u w:val="single"/>
          <w:shd w:val="clear" w:color="auto" w:fill="FFFFFF"/>
        </w:rPr>
        <w:t>￥</w:t>
      </w:r>
      <w:r>
        <w:rPr>
          <w:rFonts w:hint="eastAsia" w:ascii="宋体" w:hAnsi="宋体" w:eastAsia="宋体" w:cs="宋体"/>
          <w:color w:val="000000"/>
          <w:kern w:val="0"/>
          <w:sz w:val="24"/>
          <w:u w:val="single"/>
          <w:shd w:val="clear" w:color="auto" w:fill="FFFFFF"/>
          <w:lang w:val="en-US" w:eastAsia="zh-CN"/>
        </w:rPr>
        <w:t xml:space="preserve">          </w:t>
      </w:r>
      <w:r>
        <w:rPr>
          <w:rFonts w:hint="eastAsia" w:ascii="宋体" w:hAnsi="宋体" w:cs="宋体"/>
          <w:color w:val="000000"/>
          <w:kern w:val="0"/>
          <w:sz w:val="24"/>
          <w:u w:val="single"/>
          <w:shd w:val="clear" w:color="auto" w:fill="FFFFFF"/>
        </w:rPr>
        <w:t>元（大写：</w:t>
      </w:r>
      <w:r>
        <w:rPr>
          <w:rFonts w:hint="eastAsia" w:ascii="宋体" w:hAnsi="宋体" w:eastAsia="宋体" w:cs="宋体"/>
          <w:color w:val="000000"/>
          <w:kern w:val="0"/>
          <w:sz w:val="24"/>
          <w:u w:val="single"/>
          <w:shd w:val="clear" w:color="auto" w:fill="FFFFFF"/>
          <w:lang w:val="en-US" w:eastAsia="zh-CN"/>
        </w:rPr>
        <w:t xml:space="preserve">             </w:t>
      </w:r>
      <w:r>
        <w:rPr>
          <w:rFonts w:hint="eastAsia" w:ascii="宋体" w:hAnsi="宋体" w:cs="宋体"/>
          <w:color w:val="000000"/>
          <w:kern w:val="0"/>
          <w:sz w:val="24"/>
          <w:u w:val="single"/>
          <w:shd w:val="clear" w:color="auto" w:fill="FFFFFF"/>
        </w:rPr>
        <w:t>）</w:t>
      </w:r>
      <w:r>
        <w:rPr>
          <w:rFonts w:hint="eastAsia" w:ascii="宋体" w:hAnsi="宋体" w:cs="宋体"/>
          <w:sz w:val="24"/>
        </w:rPr>
        <w:t>（甲方必须转账到乙方合同中指定的银行账户，如没有转到乙方合同指定的账户上，由此出现的任何损失由甲方负全责。）</w:t>
      </w:r>
    </w:p>
    <w:p>
      <w:pPr>
        <w:numPr>
          <w:ilvl w:val="0"/>
          <w:numId w:val="3"/>
        </w:numPr>
        <w:spacing w:line="520" w:lineRule="exact"/>
        <w:ind w:right="-410" w:rightChars="-171"/>
        <w:rPr>
          <w:rFonts w:ascii="宋体" w:hAnsi="宋体"/>
          <w:color w:val="000000"/>
          <w:kern w:val="0"/>
          <w:sz w:val="24"/>
          <w:shd w:val="clear" w:color="auto" w:fill="FFFFFF"/>
        </w:rPr>
      </w:pPr>
      <w:r>
        <w:rPr>
          <w:rFonts w:hint="eastAsia" w:ascii="宋体" w:hAnsi="宋体" w:cs="宋体"/>
          <w:color w:val="000000"/>
          <w:kern w:val="0"/>
          <w:sz w:val="24"/>
          <w:shd w:val="clear" w:color="auto" w:fill="FFFFFF"/>
        </w:rPr>
        <w:t>合同签订生效</w:t>
      </w:r>
      <w:r>
        <w:rPr>
          <w:rFonts w:hint="eastAsia" w:ascii="宋体" w:hAnsi="宋体" w:eastAsia="宋体" w:cs="宋体"/>
          <w:color w:val="000000"/>
          <w:kern w:val="0"/>
          <w:sz w:val="24"/>
          <w:shd w:val="clear" w:color="auto" w:fill="FFFFFF"/>
          <w:lang w:val="en-US" w:eastAsia="zh-CN"/>
        </w:rPr>
        <w:t>后</w:t>
      </w:r>
      <w:r>
        <w:rPr>
          <w:rFonts w:hint="eastAsia" w:ascii="宋体" w:hAnsi="宋体" w:cs="宋体"/>
          <w:color w:val="000000"/>
          <w:kern w:val="0"/>
          <w:sz w:val="24"/>
          <w:shd w:val="clear" w:color="auto" w:fill="FFFFFF"/>
        </w:rPr>
        <w:t>，甲方需支</w:t>
      </w:r>
      <w:r>
        <w:rPr>
          <w:rFonts w:hint="eastAsia" w:ascii="宋体" w:hAnsi="宋体" w:eastAsia="宋体" w:cs="宋体"/>
          <w:color w:val="000000"/>
          <w:kern w:val="0"/>
          <w:sz w:val="24"/>
          <w:shd w:val="clear" w:color="auto" w:fill="FFFFFF"/>
          <w:lang w:val="en-US" w:eastAsia="zh-CN"/>
        </w:rPr>
        <w:t>付</w:t>
      </w:r>
      <w:r>
        <w:rPr>
          <w:rFonts w:hint="eastAsia" w:ascii="宋体" w:hAnsi="宋体" w:cs="宋体"/>
          <w:color w:val="000000"/>
          <w:kern w:val="0"/>
          <w:sz w:val="24"/>
          <w:u w:val="single"/>
          <w:shd w:val="clear" w:color="auto" w:fill="FFFFFF"/>
        </w:rPr>
        <w:t>￥</w:t>
      </w:r>
      <w:r>
        <w:rPr>
          <w:rFonts w:hint="eastAsia" w:ascii="宋体" w:hAnsi="宋体" w:eastAsia="宋体" w:cs="宋体"/>
          <w:color w:val="000000"/>
          <w:kern w:val="0"/>
          <w:sz w:val="24"/>
          <w:u w:val="single"/>
          <w:shd w:val="clear" w:color="auto" w:fill="FFFFFF"/>
          <w:lang w:val="en-US" w:eastAsia="zh-CN"/>
        </w:rPr>
        <w:t xml:space="preserve">         </w:t>
      </w:r>
      <w:r>
        <w:rPr>
          <w:rFonts w:hint="eastAsia" w:ascii="宋体" w:hAnsi="宋体" w:cs="宋体"/>
          <w:color w:val="000000"/>
          <w:kern w:val="0"/>
          <w:sz w:val="24"/>
          <w:u w:val="single"/>
          <w:shd w:val="clear" w:color="auto" w:fill="FFFFFF"/>
        </w:rPr>
        <w:t>元（大写：</w:t>
      </w:r>
      <w:r>
        <w:rPr>
          <w:rFonts w:hint="eastAsia" w:ascii="宋体" w:hAnsi="宋体" w:eastAsia="宋体" w:cs="宋体"/>
          <w:color w:val="000000"/>
          <w:kern w:val="0"/>
          <w:sz w:val="24"/>
          <w:u w:val="single"/>
          <w:shd w:val="clear" w:color="auto" w:fill="FFFFFF"/>
          <w:lang w:val="en-US" w:eastAsia="zh-CN"/>
        </w:rPr>
        <w:t xml:space="preserve">                  </w:t>
      </w:r>
      <w:r>
        <w:rPr>
          <w:rFonts w:hint="eastAsia" w:ascii="宋体" w:hAnsi="宋体" w:cs="宋体"/>
          <w:color w:val="000000"/>
          <w:kern w:val="0"/>
          <w:sz w:val="24"/>
          <w:u w:val="single"/>
          <w:shd w:val="clear" w:color="auto" w:fill="FFFFFF"/>
        </w:rPr>
        <w:t>）</w:t>
      </w:r>
      <w:r>
        <w:rPr>
          <w:rFonts w:hint="eastAsia" w:ascii="宋体" w:hAnsi="宋体" w:eastAsia="宋体" w:cs="宋体"/>
          <w:color w:val="000000"/>
          <w:kern w:val="0"/>
          <w:sz w:val="24"/>
          <w:shd w:val="clear" w:color="auto" w:fill="FFFFFF"/>
          <w:lang w:eastAsia="zh-CN"/>
        </w:rPr>
        <w:t>，</w:t>
      </w:r>
      <w:r>
        <w:rPr>
          <w:rFonts w:hint="eastAsia" w:ascii="宋体" w:hAnsi="宋体" w:eastAsia="宋体" w:cs="宋体"/>
          <w:color w:val="000000"/>
          <w:kern w:val="0"/>
          <w:sz w:val="24"/>
          <w:shd w:val="clear" w:color="auto" w:fill="FFFFFF"/>
          <w:lang w:val="en-US" w:eastAsia="zh-CN"/>
        </w:rPr>
        <w:t>乙方立即组织材料，非定制产品15天内发货，进口产品45天内发货，或电话通知发货时间。</w:t>
      </w:r>
    </w:p>
    <w:p>
      <w:pPr>
        <w:spacing w:line="520" w:lineRule="exact"/>
        <w:ind w:right="-410" w:rightChars="-171"/>
        <w:rPr>
          <w:rFonts w:ascii="宋体" w:hAnsi="宋体" w:eastAsia="宋体" w:cs="宋体"/>
          <w:color w:val="000000"/>
          <w:kern w:val="0"/>
          <w:sz w:val="24"/>
          <w:u w:val="single"/>
          <w:shd w:val="clear" w:color="auto" w:fill="FFFFFF"/>
        </w:rPr>
      </w:pPr>
      <w:r>
        <w:rPr>
          <w:rFonts w:hint="eastAsia" w:ascii="宋体" w:hAnsi="宋体" w:cs="宋体"/>
          <w:color w:val="000000"/>
          <w:kern w:val="0"/>
          <w:sz w:val="24"/>
          <w:shd w:val="clear" w:color="auto" w:fill="FFFFFF"/>
        </w:rPr>
        <w:t>（</w:t>
      </w:r>
      <w:r>
        <w:rPr>
          <w:rFonts w:hint="eastAsia" w:ascii="宋体" w:hAnsi="宋体" w:eastAsia="宋体" w:cs="宋体"/>
          <w:color w:val="000000"/>
          <w:kern w:val="0"/>
          <w:sz w:val="24"/>
          <w:shd w:val="clear" w:color="auto" w:fill="FFFFFF"/>
          <w:lang w:val="en-US" w:eastAsia="zh-CN"/>
        </w:rPr>
        <w:t>2</w:t>
      </w:r>
      <w:r>
        <w:rPr>
          <w:rFonts w:hint="eastAsia" w:ascii="宋体" w:hAnsi="宋体" w:cs="宋体"/>
          <w:color w:val="000000"/>
          <w:kern w:val="0"/>
          <w:sz w:val="24"/>
          <w:shd w:val="clear" w:color="auto" w:fill="FFFFFF"/>
        </w:rPr>
        <w:t>）</w:t>
      </w:r>
      <w:r>
        <w:rPr>
          <w:rFonts w:ascii="宋体" w:hAnsi="宋体" w:cs="宋体"/>
          <w:color w:val="000000"/>
          <w:kern w:val="0"/>
          <w:sz w:val="24"/>
          <w:shd w:val="clear" w:color="auto" w:fill="FFFFFF"/>
        </w:rPr>
        <w:t xml:space="preserve"> </w:t>
      </w:r>
      <w:r>
        <w:rPr>
          <w:rFonts w:hint="eastAsia" w:ascii="宋体" w:hAnsi="宋体" w:cs="宋体"/>
          <w:color w:val="000000"/>
          <w:kern w:val="0"/>
          <w:sz w:val="24"/>
          <w:shd w:val="clear" w:color="auto" w:fill="FFFFFF"/>
        </w:rPr>
        <w:t>材料到达甲方安装场地并经甲方验收合格</w:t>
      </w:r>
      <w:r>
        <w:rPr>
          <w:rFonts w:hint="eastAsia" w:ascii="宋体" w:hAnsi="宋体" w:eastAsia="宋体" w:cs="宋体"/>
          <w:color w:val="000000"/>
          <w:kern w:val="0"/>
          <w:sz w:val="24"/>
          <w:shd w:val="clear" w:color="auto" w:fill="FFFFFF"/>
          <w:lang w:eastAsia="zh-CN"/>
        </w:rPr>
        <w:t>后</w:t>
      </w:r>
      <w:r>
        <w:rPr>
          <w:rFonts w:hint="eastAsia" w:ascii="宋体" w:hAnsi="宋体" w:cs="宋体"/>
          <w:color w:val="000000"/>
          <w:kern w:val="0"/>
          <w:sz w:val="24"/>
          <w:shd w:val="clear" w:color="auto" w:fill="FFFFFF"/>
        </w:rPr>
        <w:t>，所有设备安装并调试完成后，</w:t>
      </w:r>
      <w:r>
        <w:rPr>
          <w:rFonts w:hint="eastAsia" w:ascii="宋体" w:hAnsi="宋体" w:eastAsia="宋体" w:cs="宋体"/>
          <w:color w:val="000000"/>
          <w:kern w:val="0"/>
          <w:sz w:val="24"/>
          <w:shd w:val="clear" w:color="auto" w:fill="FFFFFF"/>
          <w:lang w:val="en-US" w:eastAsia="zh-CN"/>
        </w:rPr>
        <w:t>运行一个月，</w:t>
      </w:r>
      <w:r>
        <w:rPr>
          <w:rFonts w:hint="eastAsia" w:ascii="宋体" w:hAnsi="宋体" w:cs="宋体"/>
          <w:color w:val="000000"/>
          <w:kern w:val="0"/>
          <w:sz w:val="24"/>
          <w:shd w:val="clear" w:color="auto" w:fill="FFFFFF"/>
        </w:rPr>
        <w:t>甲方需支付至合同总价的</w:t>
      </w:r>
      <w:r>
        <w:rPr>
          <w:rFonts w:ascii="宋体" w:hAnsi="宋体" w:cs="宋体"/>
          <w:color w:val="000000"/>
          <w:kern w:val="0"/>
          <w:sz w:val="24"/>
          <w:shd w:val="clear" w:color="auto" w:fill="FFFFFF"/>
        </w:rPr>
        <w:t>95</w:t>
      </w:r>
      <w:r>
        <w:rPr>
          <w:rFonts w:hint="eastAsia" w:ascii="宋体" w:hAnsi="宋体" w:cs="宋体"/>
          <w:color w:val="000000"/>
          <w:kern w:val="0"/>
          <w:sz w:val="24"/>
          <w:shd w:val="clear" w:color="auto" w:fill="FFFFFF"/>
        </w:rPr>
        <w:t>%给乙方。</w:t>
      </w:r>
    </w:p>
    <w:p>
      <w:pPr>
        <w:widowControl/>
        <w:spacing w:line="480" w:lineRule="auto"/>
        <w:rPr>
          <w:rFonts w:ascii="宋体" w:hAnsi="宋体" w:cs="宋体"/>
          <w:sz w:val="24"/>
        </w:rPr>
      </w:pPr>
      <w:r>
        <w:rPr>
          <w:rFonts w:hint="eastAsia" w:ascii="宋体" w:hAnsi="宋体" w:cs="宋体"/>
          <w:sz w:val="24"/>
        </w:rPr>
        <w:t>（</w:t>
      </w:r>
      <w:r>
        <w:rPr>
          <w:rFonts w:hint="eastAsia" w:ascii="宋体" w:hAnsi="宋体" w:eastAsia="宋体" w:cs="宋体"/>
          <w:sz w:val="24"/>
          <w:lang w:val="en-US" w:eastAsia="zh-CN"/>
        </w:rPr>
        <w:t>3</w:t>
      </w:r>
      <w:r>
        <w:rPr>
          <w:rFonts w:hint="eastAsia" w:ascii="宋体" w:hAnsi="宋体" w:cs="宋体"/>
          <w:sz w:val="24"/>
        </w:rPr>
        <w:t>）经甲乙双方协商决定，乙方需提供合同对等的全额增值税专用发票。</w:t>
      </w:r>
    </w:p>
    <w:p>
      <w:pPr>
        <w:widowControl/>
        <w:spacing w:line="48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cs="宋体"/>
          <w:sz w:val="24"/>
        </w:rPr>
        <w:t>所有设备整体质保</w:t>
      </w:r>
      <w:r>
        <w:rPr>
          <w:rFonts w:hint="eastAsia" w:ascii="宋体" w:hAnsi="宋体" w:eastAsia="宋体" w:cs="宋体"/>
          <w:sz w:val="24"/>
          <w:lang w:val="en-US" w:eastAsia="zh-CN"/>
        </w:rPr>
        <w:t>1</w:t>
      </w:r>
      <w:r>
        <w:rPr>
          <w:rFonts w:hint="eastAsia" w:ascii="宋体" w:hAnsi="宋体" w:cs="宋体"/>
          <w:sz w:val="24"/>
        </w:rPr>
        <w:t>年，质保期满后支付剩余</w:t>
      </w:r>
      <w:r>
        <w:rPr>
          <w:rFonts w:ascii="宋体" w:hAnsi="宋体" w:cs="宋体"/>
          <w:sz w:val="24"/>
        </w:rPr>
        <w:t>5%</w:t>
      </w:r>
      <w:r>
        <w:rPr>
          <w:rFonts w:hint="eastAsia" w:ascii="宋体" w:hAnsi="宋体" w:cs="宋体"/>
          <w:sz w:val="24"/>
        </w:rPr>
        <w:t>的质保金。</w:t>
      </w:r>
    </w:p>
    <w:p>
      <w:pPr>
        <w:spacing w:line="520" w:lineRule="exact"/>
        <w:ind w:right="-617" w:rightChars="-257"/>
        <w:rPr>
          <w:rFonts w:ascii="宋体" w:hAnsi="宋体" w:cs="宋体"/>
          <w:sz w:val="24"/>
        </w:rPr>
      </w:pPr>
      <w:r>
        <w:rPr>
          <w:rFonts w:hint="eastAsia" w:ascii="宋体" w:hAnsi="宋体" w:cs="宋体"/>
          <w:sz w:val="24"/>
        </w:rPr>
        <w:t>（</w:t>
      </w:r>
      <w:r>
        <w:rPr>
          <w:rFonts w:hint="eastAsia" w:ascii="宋体" w:hAnsi="宋体" w:eastAsia="宋体" w:cs="宋体"/>
          <w:sz w:val="24"/>
          <w:lang w:val="en-US" w:eastAsia="zh-CN"/>
        </w:rPr>
        <w:t>5</w:t>
      </w:r>
      <w:r>
        <w:rPr>
          <w:rFonts w:hint="eastAsia" w:ascii="宋体" w:hAnsi="宋体" w:cs="宋体"/>
          <w:sz w:val="24"/>
        </w:rPr>
        <w:t>）设备交付后产权归甲方所有。</w:t>
      </w:r>
    </w:p>
    <w:p>
      <w:pPr>
        <w:spacing w:line="520" w:lineRule="exact"/>
        <w:ind w:right="-617" w:rightChars="-257"/>
        <w:rPr>
          <w:rFonts w:ascii="宋体" w:hAnsi="宋体" w:eastAsia="宋体" w:cs="宋体"/>
          <w:sz w:val="24"/>
        </w:rPr>
      </w:pPr>
      <w:r>
        <w:rPr>
          <w:rFonts w:hint="eastAsia" w:ascii="宋体" w:hAnsi="宋体" w:cs="宋体"/>
          <w:sz w:val="24"/>
        </w:rPr>
        <w:t>（</w:t>
      </w:r>
      <w:r>
        <w:rPr>
          <w:rFonts w:hint="eastAsia" w:ascii="宋体" w:hAnsi="宋体" w:eastAsia="宋体" w:cs="宋体"/>
          <w:sz w:val="24"/>
          <w:lang w:val="en-US" w:eastAsia="zh-CN"/>
        </w:rPr>
        <w:t>6</w:t>
      </w:r>
      <w:r>
        <w:rPr>
          <w:rFonts w:hint="eastAsia" w:ascii="宋体" w:hAnsi="宋体" w:cs="宋体"/>
          <w:sz w:val="24"/>
        </w:rPr>
        <w:t>）清单详见附件</w:t>
      </w:r>
    </w:p>
    <w:p>
      <w:pPr>
        <w:numPr>
          <w:ilvl w:val="0"/>
          <w:numId w:val="4"/>
        </w:numPr>
        <w:spacing w:line="440" w:lineRule="exact"/>
        <w:rPr>
          <w:rFonts w:ascii="宋体" w:hAnsi="宋体" w:cs="??"/>
          <w:b/>
          <w:bCs/>
          <w:sz w:val="24"/>
        </w:rPr>
      </w:pPr>
      <w:r>
        <w:rPr>
          <w:rFonts w:hint="eastAsia" w:ascii="宋体" w:hAnsi="宋体" w:cs="宋体"/>
          <w:b/>
          <w:bCs/>
          <w:sz w:val="24"/>
        </w:rPr>
        <w:t>质量验收</w:t>
      </w:r>
    </w:p>
    <w:p>
      <w:pPr>
        <w:spacing w:line="440" w:lineRule="exact"/>
        <w:rPr>
          <w:rFonts w:ascii="宋体" w:hAnsi="宋体" w:cs="??"/>
          <w:sz w:val="24"/>
        </w:rPr>
      </w:pPr>
      <w:r>
        <w:rPr>
          <w:rFonts w:ascii="宋体" w:hAnsi="宋体" w:cs="??"/>
          <w:sz w:val="24"/>
        </w:rPr>
        <w:t>1</w:t>
      </w:r>
      <w:r>
        <w:rPr>
          <w:rFonts w:hint="eastAsia" w:ascii="宋体" w:hAnsi="宋体" w:cs="宋体"/>
          <w:sz w:val="24"/>
        </w:rPr>
        <w:t>、工程质量标准</w:t>
      </w:r>
    </w:p>
    <w:p>
      <w:pPr>
        <w:spacing w:line="360" w:lineRule="exact"/>
        <w:ind w:firstLine="480" w:firstLineChars="200"/>
        <w:rPr>
          <w:rFonts w:ascii="宋体" w:hAnsi="宋体"/>
          <w:color w:val="000000"/>
          <w:sz w:val="24"/>
        </w:rPr>
      </w:pPr>
      <w:r>
        <w:rPr>
          <w:rFonts w:hint="eastAsia" w:ascii="宋体" w:hAnsi="宋体" w:cs="宋体"/>
          <w:sz w:val="24"/>
        </w:rPr>
        <w:t>按国家现行质量标准和行业标准。</w:t>
      </w:r>
    </w:p>
    <w:p>
      <w:pPr>
        <w:spacing w:line="440" w:lineRule="exact"/>
        <w:rPr>
          <w:rFonts w:ascii="宋体" w:hAnsi="宋体" w:cs="??"/>
          <w:sz w:val="24"/>
        </w:rPr>
      </w:pPr>
      <w:r>
        <w:rPr>
          <w:rFonts w:hint="eastAsia" w:ascii="宋体" w:hAnsi="宋体" w:cs="宋体"/>
          <w:sz w:val="24"/>
        </w:rPr>
        <w:t>2、检查验收方式</w:t>
      </w:r>
    </w:p>
    <w:p>
      <w:pPr>
        <w:spacing w:line="440" w:lineRule="exact"/>
        <w:ind w:firstLine="600"/>
        <w:rPr>
          <w:rFonts w:ascii="宋体" w:hAnsi="宋体" w:cs="??"/>
          <w:sz w:val="24"/>
        </w:rPr>
      </w:pPr>
      <w:r>
        <w:rPr>
          <w:rFonts w:hint="eastAsia" w:ascii="宋体" w:hAnsi="宋体" w:cs="宋体"/>
          <w:sz w:val="24"/>
        </w:rPr>
        <w:t>（</w:t>
      </w:r>
      <w:r>
        <w:rPr>
          <w:rFonts w:ascii="宋体" w:hAnsi="宋体" w:cs="宋体"/>
          <w:sz w:val="24"/>
        </w:rPr>
        <w:t>1</w:t>
      </w:r>
      <w:r>
        <w:rPr>
          <w:rFonts w:hint="eastAsia" w:ascii="宋体" w:hAnsi="宋体" w:cs="宋体"/>
          <w:sz w:val="24"/>
        </w:rPr>
        <w:t>）在安装调试正常运行</w:t>
      </w:r>
      <w:r>
        <w:rPr>
          <w:rFonts w:ascii="宋体" w:hAnsi="宋体" w:cs="宋体"/>
          <w:sz w:val="24"/>
        </w:rPr>
        <w:t>24</w:t>
      </w:r>
      <w:r>
        <w:rPr>
          <w:rFonts w:hint="eastAsia" w:ascii="宋体" w:hAnsi="宋体" w:cs="宋体"/>
          <w:sz w:val="24"/>
        </w:rPr>
        <w:t>小时后，</w:t>
      </w:r>
      <w:r>
        <w:rPr>
          <w:rFonts w:hint="eastAsia" w:ascii="宋体" w:hAnsi="宋体" w:cs="华文宋体"/>
          <w:color w:val="000000"/>
          <w:sz w:val="24"/>
        </w:rPr>
        <w:t>即</w:t>
      </w:r>
      <w:r>
        <w:rPr>
          <w:rFonts w:hint="eastAsia" w:ascii="宋体" w:hAnsi="宋体" w:cs="宋体"/>
          <w:sz w:val="24"/>
        </w:rPr>
        <w:t>达到验收标准。甲方应进行验收。甲方收到乙方设备调试验收书面通知3个工作日内应组织相关人员进行调试即验收。</w:t>
      </w:r>
    </w:p>
    <w:p>
      <w:pPr>
        <w:spacing w:line="440" w:lineRule="exact"/>
        <w:ind w:firstLine="480" w:firstLineChars="200"/>
        <w:rPr>
          <w:rFonts w:ascii="宋体" w:hAnsi="宋体" w:cs="??"/>
          <w:sz w:val="24"/>
        </w:rPr>
      </w:pPr>
      <w:r>
        <w:rPr>
          <w:rFonts w:hint="eastAsia" w:ascii="宋体" w:hAnsi="宋体" w:cs="华文宋体"/>
          <w:color w:val="000000"/>
          <w:sz w:val="24"/>
        </w:rPr>
        <w:t>（</w:t>
      </w:r>
      <w:r>
        <w:rPr>
          <w:rFonts w:ascii="宋体" w:hAnsi="宋体" w:cs="华文宋体"/>
          <w:color w:val="000000"/>
          <w:sz w:val="24"/>
        </w:rPr>
        <w:t>2</w:t>
      </w:r>
      <w:r>
        <w:rPr>
          <w:rFonts w:hint="eastAsia" w:ascii="宋体" w:hAnsi="宋体" w:cs="华文宋体"/>
          <w:color w:val="000000"/>
          <w:sz w:val="24"/>
        </w:rPr>
        <w:t>）验收合格，从验收合格之日起</w:t>
      </w:r>
      <w:r>
        <w:rPr>
          <w:rFonts w:ascii="宋体" w:hAnsi="宋体" w:cs="华文宋体"/>
          <w:color w:val="000000"/>
          <w:sz w:val="24"/>
          <w:u w:val="single"/>
        </w:rPr>
        <w:t>7</w:t>
      </w:r>
      <w:r>
        <w:rPr>
          <w:rFonts w:hint="eastAsia" w:ascii="宋体" w:hAnsi="宋体" w:cs="华文宋体"/>
          <w:color w:val="000000"/>
          <w:sz w:val="24"/>
        </w:rPr>
        <w:t>天内，乙方向甲方移交完毕安装工程及其附属的、相关详细的随机技术文件、安装示意图图纸、说明书、合格证等。甲方、乙方及其他相关各方在安装工程竣工交接书上最终签字的日期为安装工程交付日。</w:t>
      </w:r>
    </w:p>
    <w:p>
      <w:pPr>
        <w:spacing w:line="440" w:lineRule="exact"/>
        <w:ind w:firstLine="600"/>
        <w:rPr>
          <w:rFonts w:ascii="宋体" w:hAnsi="宋体" w:cs="??"/>
          <w:sz w:val="24"/>
        </w:rPr>
      </w:pPr>
      <w:r>
        <w:rPr>
          <w:rFonts w:hint="eastAsia" w:ascii="宋体" w:hAnsi="宋体" w:cs="宋体"/>
          <w:sz w:val="24"/>
        </w:rPr>
        <w:t>（</w:t>
      </w:r>
      <w:r>
        <w:rPr>
          <w:rFonts w:ascii="宋体" w:hAnsi="宋体" w:cs="??"/>
          <w:sz w:val="24"/>
        </w:rPr>
        <w:t>3</w:t>
      </w:r>
      <w:r>
        <w:rPr>
          <w:rFonts w:hint="eastAsia" w:ascii="宋体" w:hAnsi="宋体" w:cs="宋体"/>
          <w:sz w:val="24"/>
        </w:rPr>
        <w:t>）合同签订后，在乙方进场安装前，甲、乙双方应对相关设备、材料等进行货品签收。</w:t>
      </w:r>
    </w:p>
    <w:p>
      <w:pPr>
        <w:spacing w:line="440" w:lineRule="exact"/>
        <w:ind w:firstLine="600"/>
        <w:rPr>
          <w:rFonts w:ascii="宋体" w:hAnsi="宋体" w:cs="??"/>
          <w:sz w:val="24"/>
        </w:rPr>
      </w:pPr>
      <w:r>
        <w:rPr>
          <w:rFonts w:hint="eastAsia" w:ascii="宋体" w:hAnsi="宋体" w:cs="宋体"/>
          <w:sz w:val="24"/>
        </w:rPr>
        <w:t>（</w:t>
      </w:r>
      <w:r>
        <w:rPr>
          <w:rFonts w:ascii="宋体" w:hAnsi="宋体" w:cs="??"/>
          <w:sz w:val="24"/>
        </w:rPr>
        <w:t>4</w:t>
      </w:r>
      <w:r>
        <w:rPr>
          <w:rFonts w:hint="eastAsia" w:ascii="宋体" w:hAnsi="宋体" w:cs="宋体"/>
          <w:sz w:val="24"/>
        </w:rPr>
        <w:t>）甲方同意按照乙方提供的方案施工，甲方不得随意变更经确认的方案；如需要变更方案，需由甲、乙双方协商，超出乙方预算期内的，由甲方自行承担相关费用。</w:t>
      </w:r>
    </w:p>
    <w:p>
      <w:pPr>
        <w:spacing w:line="440" w:lineRule="exact"/>
        <w:rPr>
          <w:rFonts w:ascii="宋体" w:hAnsi="宋体" w:cs="??"/>
          <w:b/>
          <w:bCs/>
          <w:sz w:val="24"/>
        </w:rPr>
      </w:pPr>
      <w:r>
        <w:rPr>
          <w:rFonts w:hint="eastAsia" w:ascii="宋体" w:hAnsi="宋体" w:cs="宋体"/>
          <w:b/>
          <w:bCs/>
          <w:sz w:val="24"/>
        </w:rPr>
        <w:t>第五条</w:t>
      </w:r>
      <w:r>
        <w:rPr>
          <w:rFonts w:ascii="宋体" w:hAnsi="宋体" w:cs="??"/>
          <w:b/>
          <w:bCs/>
          <w:sz w:val="24"/>
        </w:rPr>
        <w:t xml:space="preserve">  </w:t>
      </w:r>
      <w:r>
        <w:rPr>
          <w:rFonts w:hint="eastAsia" w:ascii="宋体" w:hAnsi="宋体" w:cs="宋体"/>
          <w:b/>
          <w:bCs/>
          <w:sz w:val="24"/>
        </w:rPr>
        <w:t>双方权利、义务</w:t>
      </w:r>
    </w:p>
    <w:p>
      <w:pPr>
        <w:spacing w:line="440" w:lineRule="exact"/>
        <w:rPr>
          <w:rFonts w:ascii="宋体" w:hAnsi="宋体" w:cs="??"/>
          <w:sz w:val="24"/>
        </w:rPr>
      </w:pPr>
      <w:r>
        <w:rPr>
          <w:rFonts w:ascii="宋体" w:hAnsi="宋体" w:cs="??"/>
          <w:sz w:val="24"/>
        </w:rPr>
        <w:t>1</w:t>
      </w:r>
      <w:r>
        <w:rPr>
          <w:rFonts w:hint="eastAsia" w:ascii="宋体" w:hAnsi="宋体" w:cs="宋体"/>
          <w:sz w:val="24"/>
        </w:rPr>
        <w:t>、甲方责任：</w:t>
      </w:r>
    </w:p>
    <w:p>
      <w:pPr>
        <w:spacing w:line="440" w:lineRule="exact"/>
        <w:ind w:firstLine="480" w:firstLineChars="200"/>
        <w:rPr>
          <w:rFonts w:ascii="宋体" w:hAnsi="宋体" w:cs="宋体"/>
          <w:sz w:val="24"/>
        </w:rPr>
      </w:pPr>
      <w:r>
        <w:rPr>
          <w:rFonts w:hint="eastAsia" w:ascii="宋体" w:hAnsi="宋体" w:cs="宋体"/>
          <w:sz w:val="24"/>
        </w:rPr>
        <w:t>（</w:t>
      </w:r>
      <w:r>
        <w:rPr>
          <w:rFonts w:ascii="宋体" w:hAnsi="宋体" w:cs="??"/>
          <w:sz w:val="24"/>
        </w:rPr>
        <w:t>1</w:t>
      </w:r>
      <w:r>
        <w:rPr>
          <w:rFonts w:hint="eastAsia" w:ascii="宋体" w:hAnsi="宋体" w:cs="宋体"/>
          <w:sz w:val="24"/>
        </w:rPr>
        <w:t>）水、电、混凝土基础设施由甲方负责安装到设备间内；</w:t>
      </w:r>
    </w:p>
    <w:p>
      <w:pPr>
        <w:spacing w:line="440" w:lineRule="exact"/>
        <w:ind w:firstLine="480" w:firstLineChars="200"/>
        <w:rPr>
          <w:rFonts w:ascii="宋体" w:hAnsi="宋体" w:cs="??"/>
          <w:sz w:val="24"/>
        </w:rPr>
      </w:pPr>
      <w:r>
        <w:rPr>
          <w:rFonts w:hint="eastAsia" w:ascii="宋体" w:hAnsi="宋体"/>
          <w:bCs/>
          <w:color w:val="000000"/>
          <w:sz w:val="24"/>
        </w:rPr>
        <w:t>（2）原水必须达到国家自来水标准；</w:t>
      </w:r>
    </w:p>
    <w:p>
      <w:pPr>
        <w:spacing w:line="440" w:lineRule="exact"/>
        <w:ind w:left="2" w:leftChars="1" w:firstLine="432" w:firstLineChars="180"/>
        <w:rPr>
          <w:rFonts w:ascii="宋体" w:hAnsi="宋体" w:cs="宋体"/>
          <w:sz w:val="24"/>
        </w:rPr>
      </w:pPr>
      <w:r>
        <w:rPr>
          <w:rFonts w:hint="eastAsia" w:ascii="宋体" w:hAnsi="宋体" w:cs="宋体"/>
          <w:sz w:val="24"/>
        </w:rPr>
        <w:t>（</w:t>
      </w:r>
      <w:r>
        <w:rPr>
          <w:rFonts w:hint="eastAsia" w:ascii="宋体" w:hAnsi="宋体" w:cs="??"/>
          <w:sz w:val="24"/>
        </w:rPr>
        <w:t>3</w:t>
      </w:r>
      <w:r>
        <w:rPr>
          <w:rFonts w:hint="eastAsia" w:ascii="宋体" w:hAnsi="宋体" w:cs="宋体"/>
          <w:sz w:val="24"/>
        </w:rPr>
        <w:t>）搭棚等其他基础设施；</w:t>
      </w:r>
    </w:p>
    <w:p>
      <w:pPr>
        <w:spacing w:line="440" w:lineRule="exact"/>
        <w:ind w:left="2" w:leftChars="1" w:firstLine="432" w:firstLineChars="180"/>
        <w:rPr>
          <w:rFonts w:ascii="宋体" w:hAnsi="宋体" w:cs="宋体"/>
          <w:sz w:val="24"/>
        </w:rPr>
      </w:pPr>
      <w:r>
        <w:rPr>
          <w:rFonts w:hint="eastAsia" w:ascii="宋体" w:hAnsi="宋体" w:cs="宋体"/>
          <w:sz w:val="24"/>
        </w:rPr>
        <w:t>（4）当地相关部门办理各种手续由使用方负责。</w:t>
      </w:r>
    </w:p>
    <w:p>
      <w:pPr>
        <w:spacing w:line="440" w:lineRule="exact"/>
        <w:rPr>
          <w:rFonts w:ascii="宋体" w:hAnsi="宋体" w:cs="宋体"/>
          <w:sz w:val="24"/>
        </w:rPr>
      </w:pPr>
      <w:r>
        <w:rPr>
          <w:rFonts w:ascii="宋体" w:hAnsi="宋体" w:cs="??"/>
          <w:sz w:val="24"/>
        </w:rPr>
        <w:t>2</w:t>
      </w:r>
      <w:r>
        <w:rPr>
          <w:rFonts w:hint="eastAsia" w:ascii="宋体" w:hAnsi="宋体" w:cs="宋体"/>
          <w:sz w:val="24"/>
        </w:rPr>
        <w:t>、乙方责任：</w:t>
      </w:r>
    </w:p>
    <w:p>
      <w:pPr>
        <w:tabs>
          <w:tab w:val="left" w:pos="644"/>
          <w:tab w:val="left" w:pos="720"/>
        </w:tabs>
        <w:spacing w:line="440" w:lineRule="exact"/>
        <w:ind w:firstLine="240" w:firstLineChars="100"/>
        <w:rPr>
          <w:rFonts w:ascii="宋体" w:hAnsi="宋体" w:cs="宋体"/>
          <w:sz w:val="24"/>
        </w:rPr>
      </w:pPr>
      <w:r>
        <w:rPr>
          <w:rFonts w:hint="eastAsia" w:ascii="宋体" w:hAnsi="宋体" w:cs="宋体"/>
          <w:sz w:val="24"/>
        </w:rPr>
        <w:t>2.1、派出本合同负责人，负责合同履行，按要求组织设备供应安装，保质、保量、按时完成施工任务，解决由乙方负责的各项事宜。</w:t>
      </w:r>
    </w:p>
    <w:p>
      <w:pPr>
        <w:tabs>
          <w:tab w:val="left" w:pos="644"/>
          <w:tab w:val="left" w:pos="720"/>
        </w:tabs>
        <w:spacing w:line="440" w:lineRule="exact"/>
        <w:ind w:left="180"/>
        <w:rPr>
          <w:rFonts w:ascii="宋体" w:hAnsi="宋体" w:cs="宋体"/>
          <w:sz w:val="24"/>
        </w:rPr>
      </w:pPr>
      <w:r>
        <w:rPr>
          <w:rFonts w:hint="eastAsia" w:ascii="宋体" w:hAnsi="宋体" w:cs="宋体"/>
          <w:sz w:val="24"/>
        </w:rPr>
        <w:t>2.2、乙方的施工人员必须服从甲方的施工管理，并配合好土建或装饰方的施工进度。</w:t>
      </w:r>
    </w:p>
    <w:p>
      <w:pPr>
        <w:tabs>
          <w:tab w:val="left" w:pos="644"/>
          <w:tab w:val="left" w:pos="720"/>
        </w:tabs>
        <w:spacing w:line="440" w:lineRule="exact"/>
        <w:ind w:left="180"/>
        <w:rPr>
          <w:rFonts w:ascii="宋体" w:hAnsi="宋体" w:cs="宋体"/>
          <w:sz w:val="24"/>
        </w:rPr>
      </w:pPr>
      <w:r>
        <w:rPr>
          <w:rFonts w:hint="eastAsia" w:ascii="宋体" w:hAnsi="宋体" w:cs="宋体"/>
          <w:sz w:val="24"/>
        </w:rPr>
        <w:t>2.3、乙方负责在现场进行对甲方系统管理人员的技术培训及实地操作培训工作；设备的日常维护保养培训工作；以上培训均要达到甲方工作人员能单独操作为止。</w:t>
      </w:r>
    </w:p>
    <w:p>
      <w:pPr>
        <w:tabs>
          <w:tab w:val="left" w:pos="644"/>
          <w:tab w:val="left" w:pos="720"/>
        </w:tabs>
        <w:spacing w:line="440" w:lineRule="exact"/>
        <w:ind w:left="180"/>
        <w:rPr>
          <w:rFonts w:ascii="宋体" w:hAnsi="宋体" w:cs="宋体"/>
          <w:sz w:val="24"/>
        </w:rPr>
      </w:pPr>
      <w:r>
        <w:rPr>
          <w:rFonts w:hint="eastAsia" w:ascii="宋体" w:hAnsi="宋体" w:cs="宋体"/>
          <w:sz w:val="24"/>
        </w:rPr>
        <w:t>2.4、乙方从本系统验收合格交付使用之日起，乙方免费保修</w:t>
      </w:r>
      <w:r>
        <w:rPr>
          <w:rFonts w:hint="eastAsia" w:ascii="宋体" w:hAnsi="宋体" w:eastAsia="宋体" w:cs="宋体"/>
          <w:sz w:val="24"/>
          <w:u w:val="single"/>
          <w:lang w:val="en-US" w:eastAsia="zh-CN"/>
        </w:rPr>
        <w:t>壹</w:t>
      </w:r>
      <w:r>
        <w:rPr>
          <w:rFonts w:hint="eastAsia" w:ascii="宋体" w:hAnsi="宋体" w:cs="宋体"/>
          <w:sz w:val="24"/>
          <w:u w:val="single"/>
        </w:rPr>
        <w:t>年</w:t>
      </w:r>
      <w:r>
        <w:rPr>
          <w:rFonts w:hint="eastAsia" w:ascii="宋体" w:hAnsi="宋体" w:cs="宋体"/>
          <w:sz w:val="24"/>
        </w:rPr>
        <w:t xml:space="preserve">， </w:t>
      </w:r>
      <w:r>
        <w:rPr>
          <w:rFonts w:hint="eastAsia" w:ascii="宋体" w:hAnsi="宋体" w:eastAsia="宋体" w:cs="宋体"/>
          <w:sz w:val="24"/>
          <w:u w:val="single"/>
          <w:lang w:val="en-US" w:eastAsia="zh-CN"/>
        </w:rPr>
        <w:t>壹</w:t>
      </w:r>
      <w:r>
        <w:rPr>
          <w:rFonts w:hint="eastAsia" w:ascii="宋体" w:hAnsi="宋体" w:cs="宋体"/>
          <w:sz w:val="24"/>
          <w:u w:val="single"/>
        </w:rPr>
        <w:t>年</w:t>
      </w:r>
      <w:r>
        <w:rPr>
          <w:rFonts w:hint="eastAsia" w:ascii="宋体" w:hAnsi="宋体" w:cs="宋体"/>
          <w:sz w:val="24"/>
        </w:rPr>
        <w:t>后提供优惠服务。除不可抗拒的自然因素或甲方人为损坏或操作不当</w:t>
      </w:r>
      <w:bookmarkStart w:id="0" w:name="_GoBack"/>
      <w:bookmarkEnd w:id="0"/>
      <w:r>
        <w:rPr>
          <w:rFonts w:hint="eastAsia" w:ascii="宋体" w:hAnsi="宋体" w:cs="宋体"/>
          <w:sz w:val="24"/>
        </w:rPr>
        <w:t>而导致的设备损坏及相关事故外，保修期内，乙方均应在24小时内响应，乙方差旅费由乙方负责，属于乙方质量问题的所有费用由乙方自负。</w:t>
      </w:r>
    </w:p>
    <w:p>
      <w:pPr>
        <w:tabs>
          <w:tab w:val="left" w:pos="644"/>
          <w:tab w:val="left" w:pos="720"/>
        </w:tabs>
        <w:spacing w:line="440" w:lineRule="exact"/>
        <w:ind w:left="180"/>
        <w:rPr>
          <w:rFonts w:ascii="宋体" w:hAnsi="宋体" w:cs="宋体"/>
          <w:sz w:val="24"/>
        </w:rPr>
      </w:pPr>
      <w:r>
        <w:rPr>
          <w:rFonts w:hint="eastAsia" w:ascii="宋体" w:hAnsi="宋体" w:cs="宋体"/>
          <w:sz w:val="24"/>
        </w:rPr>
        <w:t>2.5、本项目中乙方不承担任何施工中的配合费用，如有由甲方负责。</w:t>
      </w:r>
    </w:p>
    <w:p>
      <w:pPr>
        <w:tabs>
          <w:tab w:val="left" w:pos="644"/>
          <w:tab w:val="left" w:pos="720"/>
        </w:tabs>
        <w:spacing w:line="440" w:lineRule="exact"/>
        <w:ind w:left="180"/>
        <w:rPr>
          <w:rFonts w:ascii="宋体" w:hAnsi="宋体" w:cs="宋体"/>
          <w:sz w:val="24"/>
        </w:rPr>
      </w:pPr>
      <w:r>
        <w:rPr>
          <w:rFonts w:hint="eastAsia" w:ascii="宋体" w:hAnsi="宋体" w:cs="宋体"/>
          <w:sz w:val="24"/>
        </w:rPr>
        <w:t>2.6、在工程安装、调试完毕，试运行合格并移交甲方前，乙方负责材料、设备的保管责任，由乙方负责成品、半成品的保护。</w:t>
      </w:r>
    </w:p>
    <w:p>
      <w:pPr>
        <w:tabs>
          <w:tab w:val="left" w:pos="644"/>
          <w:tab w:val="left" w:pos="720"/>
        </w:tabs>
        <w:spacing w:line="440" w:lineRule="exact"/>
        <w:ind w:left="180"/>
        <w:rPr>
          <w:rFonts w:ascii="宋体" w:hAnsi="宋体" w:cs="宋体"/>
          <w:sz w:val="24"/>
        </w:rPr>
      </w:pPr>
      <w:r>
        <w:rPr>
          <w:rFonts w:hint="eastAsia" w:ascii="宋体" w:hAnsi="宋体" w:cs="宋体"/>
          <w:sz w:val="24"/>
        </w:rPr>
        <w:t>2.7、乙方在施工前应向甲方提交书面的施工方案，乙方应按施工方案及法律规定进行安全施工，安全责任由乙方承担，加强施工人员的安全意识，进行安全培训，杜绝人身伤亡、火灾等事故发生。安全措施由乙方负责。若发生人身、设备等安全事故，或相关财产损失，责任由乙方承担。使用过程中，若设备存在质量问题，水质、水温不达标或不符合约定等质量问题，造成人身伤害，由乙方赔偿甲方直接损失。非乙方原因造成的损失，乙方不承担责任。</w:t>
      </w:r>
    </w:p>
    <w:p>
      <w:pPr>
        <w:tabs>
          <w:tab w:val="left" w:pos="644"/>
          <w:tab w:val="left" w:pos="720"/>
        </w:tabs>
        <w:spacing w:line="440" w:lineRule="exact"/>
        <w:ind w:left="180"/>
        <w:rPr>
          <w:rFonts w:ascii="宋体" w:hAnsi="宋体" w:cs="宋体"/>
          <w:sz w:val="24"/>
        </w:rPr>
      </w:pPr>
      <w:r>
        <w:rPr>
          <w:rFonts w:hint="eastAsia" w:ascii="宋体" w:hAnsi="宋体" w:cs="宋体"/>
          <w:sz w:val="24"/>
        </w:rPr>
        <w:t>2.8、工程竣工验收后，乙方须在游泳池设备房提供设备标识标牌及系统操作流程说明书。</w:t>
      </w:r>
    </w:p>
    <w:p>
      <w:pPr>
        <w:tabs>
          <w:tab w:val="left" w:pos="644"/>
          <w:tab w:val="left" w:pos="720"/>
        </w:tabs>
        <w:spacing w:line="440" w:lineRule="exact"/>
        <w:rPr>
          <w:rFonts w:ascii="宋体" w:hAnsi="宋体" w:cs="宋体"/>
          <w:b/>
          <w:bCs/>
          <w:sz w:val="24"/>
        </w:rPr>
      </w:pPr>
      <w:r>
        <w:rPr>
          <w:rFonts w:hint="eastAsia" w:ascii="宋体" w:hAnsi="宋体" w:cs="宋体"/>
          <w:b/>
          <w:bCs/>
          <w:sz w:val="24"/>
        </w:rPr>
        <w:t>第六条 违约</w:t>
      </w:r>
    </w:p>
    <w:p>
      <w:pPr>
        <w:spacing w:line="400" w:lineRule="exact"/>
        <w:ind w:firstLine="480" w:firstLineChars="200"/>
        <w:rPr>
          <w:rFonts w:ascii="宋体" w:hAnsi="宋体" w:cs="??"/>
          <w:sz w:val="24"/>
        </w:rPr>
      </w:pPr>
      <w:r>
        <w:rPr>
          <w:rFonts w:ascii="宋体" w:hAnsi="宋体" w:cs="??"/>
          <w:sz w:val="24"/>
        </w:rPr>
        <w:t xml:space="preserve"> 1</w:t>
      </w:r>
      <w:r>
        <w:rPr>
          <w:rFonts w:hint="eastAsia" w:ascii="宋体" w:hAnsi="宋体" w:cs="宋体"/>
          <w:sz w:val="24"/>
        </w:rPr>
        <w:t>、甲方违约：</w:t>
      </w:r>
    </w:p>
    <w:p>
      <w:pPr>
        <w:spacing w:line="400" w:lineRule="exact"/>
        <w:ind w:firstLine="480" w:firstLineChars="200"/>
        <w:rPr>
          <w:rFonts w:ascii="宋体" w:hAnsi="宋体" w:cs="??"/>
          <w:sz w:val="24"/>
        </w:rPr>
      </w:pPr>
      <w:r>
        <w:rPr>
          <w:rFonts w:hint="eastAsia" w:ascii="宋体" w:hAnsi="宋体" w:cs="宋体"/>
          <w:sz w:val="24"/>
        </w:rPr>
        <w:t>（</w:t>
      </w:r>
      <w:r>
        <w:rPr>
          <w:rFonts w:ascii="宋体" w:hAnsi="宋体" w:cs="??"/>
          <w:sz w:val="24"/>
        </w:rPr>
        <w:t>1</w:t>
      </w:r>
      <w:r>
        <w:rPr>
          <w:rFonts w:hint="eastAsia" w:ascii="宋体" w:hAnsi="宋体" w:cs="宋体"/>
          <w:sz w:val="24"/>
        </w:rPr>
        <w:t>）甲方不按照协议规定按时支付乙方合同款项，乙方有权收取滞纳金。滞纳金以欠付金额的一年期L</w:t>
      </w:r>
      <w:r>
        <w:rPr>
          <w:rFonts w:ascii="宋体" w:hAnsi="宋体" w:cs="宋体"/>
          <w:sz w:val="24"/>
        </w:rPr>
        <w:t>PR</w:t>
      </w:r>
      <w:r>
        <w:rPr>
          <w:rFonts w:hint="eastAsia" w:ascii="宋体" w:hAnsi="宋体" w:cs="宋体"/>
          <w:sz w:val="24"/>
        </w:rPr>
        <w:t>利率计算。</w:t>
      </w:r>
    </w:p>
    <w:p>
      <w:pPr>
        <w:spacing w:line="400" w:lineRule="exact"/>
        <w:ind w:firstLine="480" w:firstLineChars="200"/>
        <w:rPr>
          <w:rFonts w:ascii="宋体" w:hAnsi="宋体"/>
          <w:sz w:val="24"/>
        </w:rPr>
      </w:pPr>
      <w:r>
        <w:rPr>
          <w:rFonts w:hint="eastAsia" w:ascii="宋体" w:hAnsi="宋体" w:cs="宋体"/>
          <w:sz w:val="24"/>
        </w:rPr>
        <w:t>（</w:t>
      </w:r>
      <w:r>
        <w:rPr>
          <w:rFonts w:ascii="宋体" w:hAnsi="宋体" w:cs="??"/>
          <w:sz w:val="24"/>
        </w:rPr>
        <w:t>2</w:t>
      </w:r>
      <w:r>
        <w:rPr>
          <w:rFonts w:hint="eastAsia" w:ascii="宋体" w:hAnsi="宋体" w:cs="宋体"/>
          <w:sz w:val="24"/>
        </w:rPr>
        <w:t>）甲方未履行合同义务或未按合同约定履行义务的其他情况。甲方承担违约责任，赔偿因其违约给乙方造成的经济损失及合同总价的3</w:t>
      </w:r>
      <w:r>
        <w:rPr>
          <w:rFonts w:ascii="宋体" w:hAnsi="宋体" w:cs="宋体"/>
          <w:sz w:val="24"/>
        </w:rPr>
        <w:t>%</w:t>
      </w:r>
      <w:r>
        <w:rPr>
          <w:rFonts w:hint="eastAsia" w:ascii="宋体" w:hAnsi="宋体" w:cs="宋体"/>
          <w:sz w:val="24"/>
        </w:rPr>
        <w:t>作为补偿。</w:t>
      </w:r>
    </w:p>
    <w:p>
      <w:pPr>
        <w:spacing w:line="400" w:lineRule="exact"/>
        <w:ind w:firstLine="480" w:firstLineChars="200"/>
        <w:rPr>
          <w:rFonts w:ascii="宋体" w:hAnsi="宋体"/>
          <w:sz w:val="24"/>
        </w:rPr>
      </w:pPr>
      <w:r>
        <w:rPr>
          <w:rFonts w:ascii="宋体" w:hAnsi="宋体" w:cs="宋体"/>
          <w:sz w:val="24"/>
        </w:rPr>
        <w:t>2</w:t>
      </w:r>
      <w:r>
        <w:rPr>
          <w:rFonts w:hint="eastAsia" w:ascii="宋体" w:hAnsi="宋体" w:cs="宋体"/>
          <w:sz w:val="24"/>
        </w:rPr>
        <w:t>、乙方违约</w:t>
      </w:r>
    </w:p>
    <w:p>
      <w:pPr>
        <w:spacing w:line="400" w:lineRule="exact"/>
        <w:ind w:firstLine="360" w:firstLineChars="150"/>
        <w:rPr>
          <w:rFonts w:ascii="宋体" w:hAnsi="宋体"/>
          <w:sz w:val="24"/>
          <w:highlight w:val="yellow"/>
        </w:rPr>
      </w:pPr>
      <w:r>
        <w:rPr>
          <w:rFonts w:hint="eastAsia" w:ascii="宋体" w:hAnsi="宋体" w:cs="宋体"/>
          <w:sz w:val="24"/>
        </w:rPr>
        <w:t>（</w:t>
      </w:r>
      <w:r>
        <w:rPr>
          <w:rFonts w:ascii="宋体" w:hAnsi="宋体" w:cs="宋体"/>
          <w:sz w:val="24"/>
        </w:rPr>
        <w:t>1</w:t>
      </w:r>
      <w:r>
        <w:rPr>
          <w:rFonts w:hint="eastAsia" w:ascii="宋体" w:hAnsi="宋体" w:cs="宋体"/>
          <w:sz w:val="24"/>
        </w:rPr>
        <w:t>）因乙方原因未能按照合同约定的竣工日期或甲方同意顺延的工期竣工；因乙方原因造成工程延误，则被视为延期行为，乙方按</w:t>
      </w:r>
      <w:r>
        <w:rPr>
          <w:rFonts w:ascii="宋体" w:hAnsi="宋体" w:cs="宋体"/>
          <w:sz w:val="24"/>
        </w:rPr>
        <w:t>200</w:t>
      </w:r>
      <w:r>
        <w:rPr>
          <w:rFonts w:hint="eastAsia" w:ascii="宋体" w:hAnsi="宋体" w:cs="宋体"/>
          <w:sz w:val="24"/>
        </w:rPr>
        <w:t>元</w:t>
      </w:r>
      <w:r>
        <w:rPr>
          <w:rFonts w:ascii="宋体" w:hAnsi="宋体" w:cs="宋体"/>
          <w:sz w:val="24"/>
        </w:rPr>
        <w:t>/</w:t>
      </w:r>
      <w:r>
        <w:rPr>
          <w:rFonts w:hint="eastAsia" w:ascii="宋体" w:hAnsi="宋体" w:cs="宋体"/>
          <w:sz w:val="24"/>
        </w:rPr>
        <w:t>天作为补偿。</w:t>
      </w:r>
    </w:p>
    <w:p>
      <w:pPr>
        <w:spacing w:line="400" w:lineRule="exact"/>
        <w:ind w:firstLine="360" w:firstLineChars="15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）乙方未履行合同义务或未按合同约定履行义务的其他情况。乙方承担违约造成的损失同时支付合同总额的3</w:t>
      </w:r>
      <w:r>
        <w:rPr>
          <w:rFonts w:ascii="宋体" w:hAnsi="宋体" w:cs="宋体"/>
          <w:sz w:val="24"/>
        </w:rPr>
        <w:t>%</w:t>
      </w:r>
      <w:r>
        <w:rPr>
          <w:rFonts w:hint="eastAsia" w:ascii="宋体" w:hAnsi="宋体" w:cs="宋体"/>
          <w:sz w:val="24"/>
        </w:rPr>
        <w:t>作为补偿。</w:t>
      </w:r>
    </w:p>
    <w:p>
      <w:pPr>
        <w:spacing w:line="400" w:lineRule="exact"/>
        <w:ind w:firstLine="360" w:firstLineChars="15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）乙方未按照合同中约定的设备及材料进行安装，造成质量低劣不达标等，甲方有权选择换货。</w:t>
      </w:r>
    </w:p>
    <w:p>
      <w:pPr>
        <w:spacing w:line="400" w:lineRule="exact"/>
        <w:ind w:firstLine="480" w:firstLineChars="200"/>
        <w:rPr>
          <w:rFonts w:ascii="宋体" w:hAnsi="宋体"/>
          <w:sz w:val="24"/>
        </w:rPr>
      </w:pPr>
      <w:r>
        <w:rPr>
          <w:rFonts w:ascii="宋体" w:hAnsi="宋体" w:cs="宋体"/>
          <w:sz w:val="24"/>
        </w:rPr>
        <w:t>3</w:t>
      </w:r>
      <w:r>
        <w:rPr>
          <w:rFonts w:hint="eastAsia" w:ascii="宋体" w:hAnsi="宋体" w:cs="宋体"/>
          <w:sz w:val="24"/>
        </w:rPr>
        <w:t>、如因第三方、甲方原因或不可抗力原因所造成的安装工期延期，不应被视为违约。</w:t>
      </w:r>
    </w:p>
    <w:p>
      <w:pPr>
        <w:spacing w:line="440" w:lineRule="exact"/>
        <w:ind w:firstLine="600"/>
        <w:rPr>
          <w:rFonts w:ascii="宋体" w:hAnsi="宋体" w:cs="宋体"/>
          <w:sz w:val="24"/>
        </w:rPr>
      </w:pPr>
      <w:r>
        <w:rPr>
          <w:rFonts w:ascii="宋体" w:hAnsi="宋体" w:cs="宋体"/>
          <w:sz w:val="24"/>
        </w:rPr>
        <w:t>4</w:t>
      </w:r>
      <w:r>
        <w:rPr>
          <w:rFonts w:hint="eastAsia" w:ascii="宋体" w:hAnsi="宋体" w:cs="宋体"/>
          <w:sz w:val="24"/>
        </w:rPr>
        <w:t>、合同生效后，双方应严格按照约定履行合同，任何一方不能单方面解除或擅自终止合同。若任一方违约，则违约方应按照合同总额的</w:t>
      </w:r>
      <w:r>
        <w:rPr>
          <w:rFonts w:ascii="宋体" w:hAnsi="宋体" w:cs="宋体"/>
          <w:sz w:val="24"/>
        </w:rPr>
        <w:t>20%</w:t>
      </w:r>
      <w:r>
        <w:rPr>
          <w:rFonts w:hint="eastAsia" w:ascii="宋体" w:hAnsi="宋体" w:cs="宋体"/>
          <w:sz w:val="24"/>
        </w:rPr>
        <w:t>承担违约责任。</w:t>
      </w:r>
    </w:p>
    <w:p>
      <w:pPr>
        <w:spacing w:line="440" w:lineRule="exact"/>
        <w:ind w:firstLine="600"/>
        <w:rPr>
          <w:rFonts w:ascii="宋体" w:hAnsi="宋体"/>
          <w:sz w:val="24"/>
        </w:rPr>
      </w:pPr>
      <w:r>
        <w:rPr>
          <w:rFonts w:hint="eastAsia" w:ascii="宋体" w:hAnsi="宋体" w:cs="宋体"/>
          <w:sz w:val="24"/>
        </w:rPr>
        <w:t>5、甲乙双方各自提交给对方的有关质量标准、图纸、颜色组合、合同文本、票据、光盘、磁盘、设计文稿等资料，版权归提供方所有，双方均不得私自印制或泄露。否则，受损方将依法追究侵权责任。在任何情形下，本条所规定的保密义务应永久持续有效。</w:t>
      </w:r>
    </w:p>
    <w:p>
      <w:pPr>
        <w:spacing w:line="440" w:lineRule="exact"/>
        <w:ind w:firstLine="600"/>
        <w:rPr>
          <w:rFonts w:ascii="宋体" w:hAnsi="宋体" w:cs="宋体"/>
          <w:sz w:val="24"/>
        </w:rPr>
      </w:pPr>
      <w:r>
        <w:rPr>
          <w:rFonts w:hint="eastAsia" w:ascii="宋体" w:hAnsi="宋体" w:cs="宋体"/>
          <w:sz w:val="24"/>
        </w:rPr>
        <w:t>6、本合同履行中，违约方除承担合同约定的相关违约责任外，还应承担守约方因维权所产生的律师费、差旅费等一切合理费用。</w:t>
      </w:r>
    </w:p>
    <w:p>
      <w:pPr>
        <w:spacing w:line="440" w:lineRule="exact"/>
        <w:rPr>
          <w:rFonts w:ascii="宋体" w:hAnsi="宋体"/>
          <w:b/>
          <w:bCs/>
          <w:sz w:val="24"/>
        </w:rPr>
      </w:pPr>
      <w:r>
        <w:rPr>
          <w:rFonts w:hint="eastAsia" w:ascii="宋体" w:hAnsi="宋体" w:cs="宋体"/>
          <w:b/>
          <w:bCs/>
          <w:sz w:val="24"/>
        </w:rPr>
        <w:t>第七条</w:t>
      </w:r>
      <w:r>
        <w:rPr>
          <w:rFonts w:ascii="宋体" w:hAnsi="宋体" w:cs="宋体"/>
          <w:b/>
          <w:bCs/>
          <w:sz w:val="24"/>
        </w:rPr>
        <w:t xml:space="preserve">  </w:t>
      </w:r>
      <w:r>
        <w:rPr>
          <w:rFonts w:hint="eastAsia" w:ascii="宋体" w:hAnsi="宋体" w:cs="宋体"/>
          <w:b/>
          <w:bCs/>
          <w:sz w:val="24"/>
        </w:rPr>
        <w:t>争议或纠纷处理</w:t>
      </w:r>
    </w:p>
    <w:p>
      <w:pPr>
        <w:spacing w:line="440" w:lineRule="exact"/>
        <w:ind w:firstLine="600"/>
        <w:rPr>
          <w:rFonts w:ascii="宋体" w:hAnsi="宋体" w:cs="宋体"/>
          <w:sz w:val="24"/>
        </w:rPr>
      </w:pPr>
      <w:r>
        <w:rPr>
          <w:rFonts w:hint="eastAsia" w:ascii="宋体" w:hAnsi="宋体" w:cs="宋体"/>
          <w:sz w:val="24"/>
        </w:rPr>
        <w:t>如发生合同纠纷，双方应协商解决，协商不成，双方均有权向项目所在地人民法院提起诉讼。</w:t>
      </w:r>
    </w:p>
    <w:p>
      <w:pPr>
        <w:spacing w:line="400" w:lineRule="exact"/>
        <w:rPr>
          <w:rFonts w:ascii="宋体" w:hAnsi="宋体"/>
          <w:b/>
          <w:bCs/>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售后服务</w:t>
      </w:r>
    </w:p>
    <w:p>
      <w:pPr>
        <w:spacing w:line="400" w:lineRule="exact"/>
        <w:ind w:right="86"/>
        <w:rPr>
          <w:rFonts w:ascii="宋体" w:hAnsi="宋体" w:cs="宋体"/>
          <w:sz w:val="24"/>
        </w:rPr>
      </w:pPr>
      <w:r>
        <w:rPr>
          <w:rFonts w:ascii="宋体" w:hAnsi="宋体" w:cs="宋体"/>
          <w:sz w:val="24"/>
        </w:rPr>
        <w:t xml:space="preserve">    1</w:t>
      </w:r>
      <w:r>
        <w:rPr>
          <w:rFonts w:hint="eastAsia" w:ascii="宋体" w:hAnsi="宋体" w:cs="宋体"/>
          <w:sz w:val="24"/>
        </w:rPr>
        <w:t>、在工程验收后，乙方负责对其提供的设备实施保修及售后服务。</w:t>
      </w:r>
    </w:p>
    <w:p>
      <w:pPr>
        <w:spacing w:line="440" w:lineRule="exact"/>
        <w:ind w:firstLine="480" w:firstLineChars="200"/>
        <w:rPr>
          <w:rFonts w:ascii="宋体" w:hAnsi="宋体" w:cs="宋体"/>
          <w:sz w:val="24"/>
        </w:rPr>
      </w:pPr>
      <w:r>
        <w:rPr>
          <w:rFonts w:hint="eastAsia" w:ascii="宋体" w:hAnsi="宋体" w:cs="宋体"/>
          <w:sz w:val="24"/>
        </w:rPr>
        <w:t>2、负责使用期间设备的维护，并指导甲方人员使用；如使用过程中设备出现质量问题，由乙方负责维修，维保期内维修费用由乙方承担，维保期以外维修费用由甲方承担。</w:t>
      </w:r>
    </w:p>
    <w:p>
      <w:pPr>
        <w:widowControl/>
        <w:ind w:firstLine="480" w:firstLineChars="200"/>
        <w:jc w:val="left"/>
        <w:rPr>
          <w:rFonts w:ascii="宋体" w:hAnsi="宋体" w:cs="宋体"/>
          <w:sz w:val="24"/>
        </w:rPr>
      </w:pPr>
      <w:r>
        <w:rPr>
          <w:rFonts w:hint="eastAsia" w:ascii="宋体" w:hAnsi="宋体" w:cs="宋体"/>
          <w:sz w:val="24"/>
        </w:rPr>
        <w:t>3、在生产过程中，乙方设备出现故障，乙方接到通知后，应在48小时内到现场维护维修，自标的物安装调试结束并取得验收之日起计算。</w:t>
      </w:r>
    </w:p>
    <w:p>
      <w:pPr>
        <w:widowControl/>
        <w:ind w:firstLine="480" w:firstLineChars="200"/>
        <w:jc w:val="left"/>
        <w:rPr>
          <w:rFonts w:ascii="宋体" w:hAnsi="宋体" w:cs="宋体"/>
          <w:sz w:val="24"/>
        </w:rPr>
      </w:pPr>
      <w:r>
        <w:rPr>
          <w:rFonts w:hint="eastAsia" w:ascii="宋体" w:hAnsi="宋体" w:cs="宋体"/>
          <w:sz w:val="24"/>
        </w:rPr>
        <w:t>4、质保期内：乙方承诺对由于设计、工艺或材料等的缺陷而造成的不足或故障负责无偿修复。因甲方使用不当造成的标的物故障的，乙方接到通知后应积极配合尽快赶到现场进行维修，乙方有资质的维修人员产生的工时费按照</w:t>
      </w:r>
      <w:r>
        <w:rPr>
          <w:rFonts w:hint="eastAsia" w:ascii="宋体" w:hAnsi="宋体" w:cs="宋体"/>
          <w:sz w:val="24"/>
          <w:u w:val="single"/>
        </w:rPr>
        <w:t>200</w:t>
      </w:r>
      <w:r>
        <w:rPr>
          <w:rFonts w:hint="eastAsia" w:ascii="宋体" w:hAnsi="宋体" w:cs="宋体"/>
          <w:sz w:val="24"/>
        </w:rPr>
        <w:t>元/人/天计算（不足一天按一天计），若需更换零部件时，乙方承诺按照成本价收取。</w:t>
      </w:r>
    </w:p>
    <w:p>
      <w:pPr>
        <w:widowControl/>
        <w:ind w:firstLine="480" w:firstLineChars="200"/>
        <w:jc w:val="left"/>
        <w:rPr>
          <w:rFonts w:ascii="宋体" w:hAnsi="宋体" w:cs="宋体"/>
          <w:sz w:val="24"/>
        </w:rPr>
      </w:pPr>
      <w:r>
        <w:rPr>
          <w:rFonts w:hint="eastAsia" w:ascii="宋体" w:hAnsi="宋体" w:cs="宋体"/>
          <w:sz w:val="24"/>
        </w:rPr>
        <w:t>5、甲方可以选择延长保修服务，服务费用按照</w:t>
      </w:r>
      <w:r>
        <w:rPr>
          <w:rFonts w:hint="eastAsia" w:ascii="宋体" w:hAnsi="宋体" w:cs="宋体"/>
          <w:sz w:val="24"/>
          <w:u w:val="single"/>
        </w:rPr>
        <w:t>另行约定</w:t>
      </w:r>
      <w:r>
        <w:rPr>
          <w:rFonts w:hint="eastAsia" w:ascii="宋体" w:hAnsi="宋体" w:cs="宋体"/>
          <w:sz w:val="24"/>
        </w:rPr>
        <w:t>每年进行收取，采用延保服务的，甲方需在设备保修期到期之前1个月办理延保手续。签订延保服务协议并生效之后，执行延保服务条款。</w:t>
      </w:r>
    </w:p>
    <w:p>
      <w:pPr>
        <w:widowControl/>
        <w:ind w:firstLine="480" w:firstLineChars="200"/>
        <w:jc w:val="left"/>
        <w:rPr>
          <w:rFonts w:ascii="宋体" w:hAnsi="宋体" w:cs="??"/>
          <w:sz w:val="24"/>
        </w:rPr>
      </w:pPr>
      <w:r>
        <w:rPr>
          <w:rFonts w:hint="eastAsia" w:ascii="宋体" w:hAnsi="宋体" w:cs="宋体"/>
          <w:sz w:val="24"/>
        </w:rPr>
        <w:t>7、人员培训：在标的物安装调试后，乙方应免费为甲方人员提供一次培训。由于甲方人员变动或其他原因需要乙方进行二次培训的，甲方应支付培训相关费用，费用包括乙方派遣人员的往返交通费用、住宿费用、工时费按照</w:t>
      </w:r>
      <w:r>
        <w:rPr>
          <w:rFonts w:hint="eastAsia" w:ascii="宋体" w:hAnsi="宋体" w:cs="宋体"/>
          <w:sz w:val="24"/>
          <w:u w:val="single"/>
        </w:rPr>
        <w:t>3</w:t>
      </w:r>
      <w:r>
        <w:rPr>
          <w:rFonts w:hint="eastAsia" w:ascii="宋体" w:hAnsi="宋体" w:cs="宋体"/>
          <w:sz w:val="24"/>
          <w:u w:val="single"/>
        </w:rPr>
        <w:t>00</w:t>
      </w:r>
      <w:r>
        <w:rPr>
          <w:rFonts w:hint="eastAsia" w:ascii="宋体" w:hAnsi="宋体" w:cs="宋体"/>
          <w:sz w:val="24"/>
        </w:rPr>
        <w:t>元/人/天计算（不足一天按一天计），甲方付款后乙方安排人员执行培训。培训合格后经甲方书面验收合格。</w:t>
      </w:r>
    </w:p>
    <w:p>
      <w:pPr>
        <w:spacing w:line="400" w:lineRule="exact"/>
        <w:ind w:right="86"/>
        <w:rPr>
          <w:rFonts w:ascii="宋体" w:hAnsi="宋体"/>
          <w:sz w:val="24"/>
        </w:rPr>
      </w:pPr>
      <w:r>
        <w:rPr>
          <w:rFonts w:ascii="宋体" w:hAnsi="宋体" w:cs="宋体"/>
          <w:sz w:val="24"/>
        </w:rPr>
        <w:t xml:space="preserve">    </w:t>
      </w:r>
      <w:r>
        <w:rPr>
          <w:rFonts w:hint="eastAsia" w:ascii="宋体" w:hAnsi="宋体" w:cs="宋体"/>
          <w:sz w:val="24"/>
        </w:rPr>
        <w:t>8、甲方对售后服务有其他合理要求，需与乙方另行商定，经乙方认可后可作为合同条款。</w:t>
      </w:r>
    </w:p>
    <w:p>
      <w:pPr>
        <w:spacing w:line="440" w:lineRule="exact"/>
        <w:rPr>
          <w:rFonts w:ascii="宋体" w:hAnsi="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附则</w:t>
      </w:r>
    </w:p>
    <w:p>
      <w:pPr>
        <w:spacing w:line="440" w:lineRule="exact"/>
        <w:ind w:left="18" w:right="86" w:firstLine="592" w:firstLineChars="247"/>
        <w:rPr>
          <w:rFonts w:ascii="宋体" w:hAnsi="宋体"/>
          <w:sz w:val="24"/>
        </w:rPr>
      </w:pPr>
      <w:r>
        <w:rPr>
          <w:rFonts w:ascii="宋体" w:hAnsi="宋体" w:cs="宋体"/>
          <w:sz w:val="24"/>
        </w:rPr>
        <w:t>1</w:t>
      </w:r>
      <w:r>
        <w:rPr>
          <w:rFonts w:hint="eastAsia" w:ascii="宋体" w:hAnsi="宋体" w:cs="宋体"/>
          <w:sz w:val="24"/>
        </w:rPr>
        <w:t>、本合同未言明事项，可协商后签订补充协议，补充协议与本合同具有同等法律效力。</w:t>
      </w:r>
    </w:p>
    <w:p>
      <w:pPr>
        <w:spacing w:line="440" w:lineRule="exact"/>
        <w:ind w:left="18" w:right="86" w:firstLine="592" w:firstLineChars="247"/>
        <w:rPr>
          <w:rFonts w:ascii="宋体" w:hAnsi="宋体"/>
          <w:sz w:val="24"/>
        </w:rPr>
      </w:pPr>
      <w:r>
        <w:rPr>
          <w:rFonts w:ascii="宋体" w:hAnsi="宋体" w:cs="宋体"/>
          <w:sz w:val="24"/>
        </w:rPr>
        <w:t>2</w:t>
      </w:r>
      <w:r>
        <w:rPr>
          <w:rFonts w:hint="eastAsia" w:ascii="宋体" w:hAnsi="宋体" w:cs="宋体"/>
          <w:sz w:val="24"/>
        </w:rPr>
        <w:t>、本合同为正式执行合同，双方有关项目的洽商、变更等书面协议或文件视为本合同的组成部分，与本合同同样具有法律效力。</w:t>
      </w:r>
    </w:p>
    <w:p>
      <w:pPr>
        <w:spacing w:line="440" w:lineRule="exact"/>
        <w:ind w:left="18" w:right="86" w:firstLine="592" w:firstLineChars="247"/>
        <w:rPr>
          <w:rFonts w:ascii="宋体" w:hAnsi="宋体"/>
          <w:sz w:val="24"/>
        </w:rPr>
      </w:pPr>
      <w:r>
        <w:rPr>
          <w:rFonts w:ascii="宋体" w:hAnsi="宋体" w:cs="宋体"/>
          <w:sz w:val="24"/>
        </w:rPr>
        <w:t>3</w:t>
      </w:r>
      <w:r>
        <w:rPr>
          <w:rFonts w:hint="eastAsia" w:ascii="宋体" w:hAnsi="宋体" w:cs="宋体"/>
          <w:sz w:val="24"/>
        </w:rPr>
        <w:t>、本合同由双方授权代表签字并加盖公司印章，自双方签署之日生效；如双方签署日期不一致，自较迟的签署日起生效。本合同一式两份，其中甲、乙双方各执一份。</w:t>
      </w:r>
    </w:p>
    <w:p>
      <w:pPr>
        <w:spacing w:line="440" w:lineRule="exact"/>
        <w:ind w:left="18" w:right="86" w:firstLine="592" w:firstLineChars="247"/>
        <w:rPr>
          <w:rFonts w:ascii="宋体" w:hAnsi="宋体" w:cs="宋体"/>
          <w:sz w:val="24"/>
        </w:rPr>
      </w:pPr>
      <w:r>
        <w:rPr>
          <w:rFonts w:ascii="宋体" w:hAnsi="宋体" w:cs="宋体"/>
          <w:sz w:val="24"/>
        </w:rPr>
        <w:t>4</w:t>
      </w:r>
      <w:r>
        <w:rPr>
          <w:rFonts w:hint="eastAsia" w:ascii="宋体" w:hAnsi="宋体" w:cs="宋体"/>
          <w:sz w:val="24"/>
        </w:rPr>
        <w:t>、在履行本合同过程中相互发出通知、文件、文书、资料等，均可以当面交付或以本合同所列明的通讯地址、联系电话、邮箱号码履行送达义务。一方如果迁址或变更电话，应当在变更后</w:t>
      </w:r>
      <w:r>
        <w:rPr>
          <w:rFonts w:ascii="宋体" w:hAnsi="宋体" w:cs="宋体"/>
          <w:sz w:val="24"/>
        </w:rPr>
        <w:t>7</w:t>
      </w:r>
      <w:r>
        <w:rPr>
          <w:rFonts w:hint="eastAsia" w:ascii="宋体" w:hAnsi="宋体" w:cs="宋体"/>
          <w:sz w:val="24"/>
        </w:rPr>
        <w:t>日内书面通知另一方，否则另一方按该地址寄送相关通知、文件、文书、资料等，均视为已经送达，由此而产生的一切损失或法律责任均由其全部承担。</w:t>
      </w:r>
    </w:p>
    <w:p>
      <w:pPr>
        <w:spacing w:line="440" w:lineRule="exact"/>
        <w:ind w:left="18" w:right="86" w:firstLine="592" w:firstLineChars="247"/>
        <w:rPr>
          <w:rFonts w:ascii="宋体" w:hAnsi="宋体" w:cs="宋体"/>
          <w:sz w:val="24"/>
        </w:rPr>
      </w:pPr>
    </w:p>
    <w:p>
      <w:pPr>
        <w:spacing w:line="440" w:lineRule="exact"/>
        <w:ind w:left="18" w:right="86" w:firstLine="592" w:firstLineChars="247"/>
        <w:rPr>
          <w:rFonts w:ascii="宋体" w:hAnsi="宋体" w:cs="宋体"/>
          <w:sz w:val="24"/>
        </w:rPr>
      </w:pPr>
    </w:p>
    <w:p>
      <w:pPr>
        <w:spacing w:line="440" w:lineRule="exact"/>
        <w:ind w:left="18" w:right="86" w:firstLine="592" w:firstLineChars="247"/>
        <w:rPr>
          <w:rFonts w:ascii="宋体" w:hAnsi="宋体" w:cs="宋体"/>
          <w:sz w:val="24"/>
        </w:rPr>
      </w:pPr>
    </w:p>
    <w:p>
      <w:pPr>
        <w:spacing w:line="440" w:lineRule="exact"/>
        <w:ind w:right="86"/>
        <w:rPr>
          <w:rFonts w:ascii="宋体" w:hAnsi="宋体" w:cs="宋体"/>
          <w:sz w:val="24"/>
        </w:rPr>
      </w:pPr>
    </w:p>
    <w:p>
      <w:pPr>
        <w:spacing w:line="440" w:lineRule="exact"/>
        <w:ind w:right="86"/>
        <w:rPr>
          <w:rFonts w:ascii="宋体" w:hAnsi="宋体" w:cs="宋体"/>
          <w:sz w:val="24"/>
        </w:rPr>
      </w:pPr>
    </w:p>
    <w:p>
      <w:pPr>
        <w:spacing w:line="440" w:lineRule="exact"/>
        <w:ind w:left="18" w:right="86" w:firstLine="592" w:firstLineChars="247"/>
        <w:rPr>
          <w:rFonts w:ascii="宋体" w:hAnsi="宋体" w:cs="宋体"/>
          <w:sz w:val="24"/>
        </w:rPr>
      </w:pPr>
    </w:p>
    <w:tbl>
      <w:tblPr>
        <w:tblStyle w:val="4"/>
        <w:tblpPr w:leftFromText="180" w:rightFromText="180" w:vertAnchor="text" w:horzAnchor="page" w:tblpX="1422" w:tblpY="155"/>
        <w:tblOverlap w:val="never"/>
        <w:tblW w:w="9526" w:type="dxa"/>
        <w:tblInd w:w="0" w:type="dxa"/>
        <w:tblLayout w:type="fixed"/>
        <w:tblCellMar>
          <w:top w:w="0" w:type="dxa"/>
          <w:left w:w="108" w:type="dxa"/>
          <w:bottom w:w="0" w:type="dxa"/>
          <w:right w:w="108" w:type="dxa"/>
        </w:tblCellMar>
      </w:tblPr>
      <w:tblGrid>
        <w:gridCol w:w="5176"/>
        <w:gridCol w:w="4350"/>
      </w:tblGrid>
      <w:tr>
        <w:tblPrEx>
          <w:tblCellMar>
            <w:top w:w="0" w:type="dxa"/>
            <w:left w:w="108" w:type="dxa"/>
            <w:bottom w:w="0" w:type="dxa"/>
            <w:right w:w="108" w:type="dxa"/>
          </w:tblCellMar>
        </w:tblPrEx>
        <w:tc>
          <w:tcPr>
            <w:tcW w:w="5176" w:type="dxa"/>
            <w:vAlign w:val="bottom"/>
          </w:tcPr>
          <w:p>
            <w:pPr>
              <w:spacing w:before="156" w:beforeLines="50" w:line="276" w:lineRule="auto"/>
              <w:ind w:left="1476" w:hanging="1681" w:hangingChars="700"/>
              <w:rPr>
                <w:rFonts w:hint="default" w:ascii="宋体" w:hAnsi="宋体" w:eastAsia="宋体"/>
                <w:b/>
                <w:bCs/>
                <w:szCs w:val="21"/>
                <w:lang w:val="en-US" w:eastAsia="zh-CN"/>
              </w:rPr>
            </w:pPr>
            <w:r>
              <w:rPr>
                <w:rFonts w:hint="eastAsia" w:ascii="宋体" w:hAnsi="宋体"/>
                <w:b/>
                <w:bCs/>
                <w:szCs w:val="21"/>
              </w:rPr>
              <w:t>甲方：</w:t>
            </w:r>
            <w:r>
              <w:rPr>
                <w:rFonts w:hint="eastAsia" w:ascii="宋体" w:hAnsi="宋体" w:eastAsia="宋体" w:cs="Times New Roman"/>
                <w:b/>
                <w:bCs/>
                <w:szCs w:val="21"/>
              </w:rPr>
              <w:t xml:space="preserve"> </w:t>
            </w:r>
            <w:r>
              <w:rPr>
                <w:rFonts w:hint="eastAsia" w:ascii="宋体" w:hAnsi="宋体" w:eastAsia="宋体" w:cs="Times New Roman"/>
                <w:b/>
                <w:bCs/>
                <w:szCs w:val="21"/>
                <w:lang w:val="en-US" w:eastAsia="zh-CN"/>
              </w:rPr>
              <w:t>江油蜀游酒店管理有限公司青莲分公司</w:t>
            </w:r>
          </w:p>
        </w:tc>
        <w:tc>
          <w:tcPr>
            <w:tcW w:w="4350" w:type="dxa"/>
            <w:vAlign w:val="bottom"/>
          </w:tcPr>
          <w:p>
            <w:pPr>
              <w:spacing w:before="156" w:beforeLines="50" w:line="276" w:lineRule="auto"/>
              <w:ind w:left="1476" w:hanging="1681" w:hangingChars="700"/>
              <w:rPr>
                <w:rFonts w:ascii="宋体" w:hAnsi="宋体"/>
                <w:b/>
                <w:bCs/>
                <w:szCs w:val="21"/>
              </w:rPr>
            </w:pPr>
            <w:r>
              <w:rPr>
                <w:rFonts w:hint="eastAsia" w:ascii="宋体" w:hAnsi="宋体"/>
                <w:b/>
                <w:bCs/>
                <w:szCs w:val="21"/>
              </w:rPr>
              <w:t>乙方：</w:t>
            </w:r>
          </w:p>
        </w:tc>
      </w:tr>
      <w:tr>
        <w:tblPrEx>
          <w:tblCellMar>
            <w:top w:w="0" w:type="dxa"/>
            <w:left w:w="108" w:type="dxa"/>
            <w:bottom w:w="0" w:type="dxa"/>
            <w:right w:w="108" w:type="dxa"/>
          </w:tblCellMar>
        </w:tblPrEx>
        <w:trPr>
          <w:trHeight w:val="90" w:hRule="atLeast"/>
        </w:trPr>
        <w:tc>
          <w:tcPr>
            <w:tcW w:w="5176" w:type="dxa"/>
            <w:vAlign w:val="bottom"/>
          </w:tcPr>
          <w:p>
            <w:pPr>
              <w:spacing w:before="156" w:beforeLines="50" w:line="276" w:lineRule="auto"/>
              <w:jc w:val="both"/>
              <w:rPr>
                <w:rFonts w:ascii="宋体" w:hAnsi="宋体" w:eastAsia="宋体"/>
                <w:b/>
                <w:bCs/>
                <w:szCs w:val="21"/>
              </w:rPr>
            </w:pPr>
            <w:r>
              <w:rPr>
                <w:rFonts w:hint="eastAsia" w:ascii="宋体" w:hAnsi="宋体"/>
                <w:b/>
                <w:bCs/>
                <w:szCs w:val="21"/>
              </w:rPr>
              <w:t>地址：</w:t>
            </w:r>
          </w:p>
        </w:tc>
        <w:tc>
          <w:tcPr>
            <w:tcW w:w="4350" w:type="dxa"/>
            <w:vAlign w:val="bottom"/>
          </w:tcPr>
          <w:p>
            <w:pPr>
              <w:jc w:val="both"/>
              <w:rPr>
                <w:rFonts w:hint="eastAsia" w:ascii="宋体" w:hAnsi="宋体" w:eastAsia="宋体"/>
                <w:b/>
                <w:bCs/>
                <w:szCs w:val="21"/>
                <w:lang w:val="en-US" w:eastAsia="zh-CN"/>
              </w:rPr>
            </w:pPr>
            <w:r>
              <w:rPr>
                <w:rFonts w:hint="eastAsia" w:ascii="宋体" w:hAnsi="宋体" w:eastAsia="宋体"/>
                <w:b/>
                <w:bCs/>
                <w:szCs w:val="21"/>
                <w:lang w:val="en-US" w:eastAsia="zh-CN"/>
              </w:rPr>
              <w:t>地址：</w:t>
            </w:r>
          </w:p>
        </w:tc>
      </w:tr>
      <w:tr>
        <w:tblPrEx>
          <w:tblCellMar>
            <w:top w:w="0" w:type="dxa"/>
            <w:left w:w="108" w:type="dxa"/>
            <w:bottom w:w="0" w:type="dxa"/>
            <w:right w:w="108" w:type="dxa"/>
          </w:tblCellMar>
        </w:tblPrEx>
        <w:tc>
          <w:tcPr>
            <w:tcW w:w="5176" w:type="dxa"/>
            <w:vAlign w:val="bottom"/>
          </w:tcPr>
          <w:p>
            <w:pPr>
              <w:spacing w:before="156" w:beforeLines="50" w:line="276" w:lineRule="auto"/>
              <w:rPr>
                <w:rFonts w:ascii="宋体" w:hAnsi="宋体"/>
                <w:b/>
                <w:bCs/>
                <w:szCs w:val="21"/>
              </w:rPr>
            </w:pPr>
            <w:r>
              <w:rPr>
                <w:rFonts w:hint="eastAsia" w:ascii="宋体" w:hAnsi="宋体"/>
                <w:b/>
                <w:bCs/>
                <w:szCs w:val="21"/>
              </w:rPr>
              <w:t>委托代理人：</w:t>
            </w:r>
          </w:p>
        </w:tc>
        <w:tc>
          <w:tcPr>
            <w:tcW w:w="4350" w:type="dxa"/>
            <w:vAlign w:val="bottom"/>
          </w:tcPr>
          <w:p>
            <w:pPr>
              <w:spacing w:before="156" w:beforeLines="50" w:line="276" w:lineRule="auto"/>
              <w:rPr>
                <w:rFonts w:ascii="宋体" w:hAnsi="宋体" w:eastAsia="宋体"/>
                <w:b/>
                <w:bCs/>
                <w:szCs w:val="21"/>
              </w:rPr>
            </w:pPr>
            <w:r>
              <w:rPr>
                <w:rFonts w:hint="eastAsia" w:ascii="宋体" w:hAnsi="宋体"/>
                <w:b/>
                <w:bCs/>
                <w:szCs w:val="21"/>
              </w:rPr>
              <w:t>委托代理人：</w:t>
            </w:r>
          </w:p>
        </w:tc>
      </w:tr>
      <w:tr>
        <w:tblPrEx>
          <w:tblCellMar>
            <w:top w:w="0" w:type="dxa"/>
            <w:left w:w="108" w:type="dxa"/>
            <w:bottom w:w="0" w:type="dxa"/>
            <w:right w:w="108" w:type="dxa"/>
          </w:tblCellMar>
        </w:tblPrEx>
        <w:trPr>
          <w:trHeight w:val="453" w:hRule="atLeast"/>
        </w:trPr>
        <w:tc>
          <w:tcPr>
            <w:tcW w:w="5176" w:type="dxa"/>
            <w:vAlign w:val="bottom"/>
          </w:tcPr>
          <w:p>
            <w:pPr>
              <w:spacing w:before="156" w:beforeLines="50" w:line="276" w:lineRule="auto"/>
              <w:rPr>
                <w:rFonts w:ascii="宋体" w:hAnsi="宋体"/>
                <w:b/>
                <w:bCs/>
                <w:szCs w:val="21"/>
              </w:rPr>
            </w:pPr>
            <w:r>
              <w:rPr>
                <w:rFonts w:hint="eastAsia" w:ascii="宋体" w:hAnsi="宋体"/>
                <w:b/>
                <w:bCs/>
                <w:szCs w:val="21"/>
              </w:rPr>
              <w:t>电话：</w:t>
            </w:r>
          </w:p>
        </w:tc>
        <w:tc>
          <w:tcPr>
            <w:tcW w:w="4350" w:type="dxa"/>
            <w:vAlign w:val="bottom"/>
          </w:tcPr>
          <w:p>
            <w:pPr>
              <w:spacing w:before="156" w:beforeLines="50" w:line="276" w:lineRule="auto"/>
              <w:rPr>
                <w:rFonts w:ascii="宋体" w:hAnsi="宋体"/>
                <w:b/>
                <w:bCs/>
                <w:szCs w:val="21"/>
              </w:rPr>
            </w:pPr>
            <w:r>
              <w:rPr>
                <w:rFonts w:hint="eastAsia" w:ascii="宋体" w:hAnsi="宋体"/>
                <w:b/>
                <w:bCs/>
                <w:szCs w:val="21"/>
              </w:rPr>
              <w:t>电话：</w:t>
            </w:r>
          </w:p>
        </w:tc>
      </w:tr>
    </w:tbl>
    <w:p/>
    <w:sectPr>
      <w:pgSz w:w="11906" w:h="16838"/>
      <w:pgMar w:top="1440" w:right="1803"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21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51847"/>
    <w:multiLevelType w:val="singleLevel"/>
    <w:tmpl w:val="91251847"/>
    <w:lvl w:ilvl="0" w:tentative="0">
      <w:start w:val="1"/>
      <w:numFmt w:val="decimal"/>
      <w:suff w:val="nothing"/>
      <w:lvlText w:val="（%1）"/>
      <w:lvlJc w:val="left"/>
    </w:lvl>
  </w:abstractNum>
  <w:abstractNum w:abstractNumId="1">
    <w:nsid w:val="A44E34AB"/>
    <w:multiLevelType w:val="singleLevel"/>
    <w:tmpl w:val="A44E34AB"/>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4"/>
      <w:numFmt w:val="chineseCounting"/>
      <w:suff w:val="space"/>
      <w:lvlText w:val="第%1条"/>
      <w:lvlJc w:val="left"/>
      <w:rPr>
        <w:rFonts w:cs="Times New Roman"/>
      </w:rPr>
    </w:lvl>
  </w:abstractNum>
  <w:abstractNum w:abstractNumId="3">
    <w:nsid w:val="20D11C10"/>
    <w:multiLevelType w:val="multilevel"/>
    <w:tmpl w:val="20D11C10"/>
    <w:lvl w:ilvl="0" w:tentative="0">
      <w:start w:val="1"/>
      <w:numFmt w:val="chineseCountingThousand"/>
      <w:lvlText w:val="%1、"/>
      <w:lvlJc w:val="left"/>
      <w:pPr>
        <w:ind w:left="794" w:hanging="794"/>
      </w:pPr>
      <w:rPr>
        <w:rFonts w:hint="eastAsia" w:eastAsia="宋体"/>
        <w:b/>
        <w:i w:val="0"/>
        <w:sz w:val="21"/>
      </w:rPr>
    </w:lvl>
    <w:lvl w:ilvl="1" w:tentative="0">
      <w:start w:val="1"/>
      <w:numFmt w:val="decimal"/>
      <w:pStyle w:val="8"/>
      <w:lvlText w:val="%2."/>
      <w:lvlJc w:val="left"/>
      <w:pPr>
        <w:ind w:left="794" w:hanging="794"/>
      </w:pPr>
      <w:rPr>
        <w:rFonts w:hint="default" w:ascii="宋体" w:hAnsi="宋体" w:eastAsia="宋体"/>
        <w:b/>
        <w:i w:val="0"/>
        <w:sz w:val="21"/>
      </w:rPr>
    </w:lvl>
    <w:lvl w:ilvl="2" w:tentative="0">
      <w:start w:val="1"/>
      <w:numFmt w:val="decimal"/>
      <w:pStyle w:val="7"/>
      <w:lvlText w:val="%2.%3."/>
      <w:lvlJc w:val="left"/>
      <w:pPr>
        <w:ind w:left="794" w:hanging="794"/>
      </w:pPr>
      <w:rPr>
        <w:rFonts w:hint="eastAsia"/>
      </w:rPr>
    </w:lvl>
    <w:lvl w:ilvl="3" w:tentative="0">
      <w:start w:val="1"/>
      <w:numFmt w:val="decimal"/>
      <w:lvlText w:val="%2.%3.%4."/>
      <w:lvlJc w:val="left"/>
      <w:pPr>
        <w:ind w:left="794" w:hanging="794"/>
      </w:pPr>
      <w:rPr>
        <w:rFonts w:hint="eastAsia"/>
      </w:rPr>
    </w:lvl>
    <w:lvl w:ilvl="4" w:tentative="0">
      <w:start w:val="1"/>
      <w:numFmt w:val="upperLetter"/>
      <w:lvlText w:val="%5"/>
      <w:lvlJc w:val="left"/>
      <w:pPr>
        <w:tabs>
          <w:tab w:val="left" w:pos="794"/>
        </w:tabs>
        <w:ind w:left="794" w:hanging="794"/>
      </w:pPr>
      <w:rPr>
        <w:rFonts w:hint="eastAsia"/>
      </w:rPr>
    </w:lvl>
    <w:lvl w:ilvl="5" w:tentative="0">
      <w:start w:val="1"/>
      <w:numFmt w:val="decimal"/>
      <w:lvlText w:val="%1.%2.%3.%4.%5.%6"/>
      <w:lvlJc w:val="left"/>
      <w:pPr>
        <w:ind w:left="794" w:hanging="794"/>
      </w:pPr>
      <w:rPr>
        <w:rFonts w:hint="eastAsia"/>
      </w:rPr>
    </w:lvl>
    <w:lvl w:ilvl="6" w:tentative="0">
      <w:start w:val="1"/>
      <w:numFmt w:val="decimal"/>
      <w:lvlText w:val="%1.%2.%3.%4.%5.%6.%7"/>
      <w:lvlJc w:val="left"/>
      <w:pPr>
        <w:ind w:left="794" w:hanging="794"/>
      </w:pPr>
      <w:rPr>
        <w:rFonts w:hint="eastAsia"/>
      </w:rPr>
    </w:lvl>
    <w:lvl w:ilvl="7" w:tentative="0">
      <w:start w:val="1"/>
      <w:numFmt w:val="decimal"/>
      <w:lvlText w:val="%1.%2.%3.%4.%5.%6.%7.%8"/>
      <w:lvlJc w:val="left"/>
      <w:pPr>
        <w:ind w:left="794" w:hanging="794"/>
      </w:pPr>
      <w:rPr>
        <w:rFonts w:hint="eastAsia"/>
      </w:rPr>
    </w:lvl>
    <w:lvl w:ilvl="8" w:tentative="0">
      <w:start w:val="1"/>
      <w:numFmt w:val="decimal"/>
      <w:lvlText w:val="%1.%2.%3.%4.%5.%6.%7.%8.%9"/>
      <w:lvlJc w:val="left"/>
      <w:pPr>
        <w:ind w:left="794" w:hanging="79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Nzk0NGU2YjEyNmUxNDhkNWM2MTRkNTZlNTRlNjUifQ=="/>
  </w:docVars>
  <w:rsids>
    <w:rsidRoot w:val="052F3AB7"/>
    <w:rsid w:val="00A67D58"/>
    <w:rsid w:val="052F3AB7"/>
    <w:rsid w:val="0C1C4170"/>
    <w:rsid w:val="15CA4003"/>
    <w:rsid w:val="2AFB60D8"/>
    <w:rsid w:val="361719C1"/>
    <w:rsid w:val="367A046E"/>
    <w:rsid w:val="382128B0"/>
    <w:rsid w:val="3BEB6C08"/>
    <w:rsid w:val="62113CD1"/>
    <w:rsid w:val="6D4E5FC4"/>
    <w:rsid w:val="7BCE36BF"/>
    <w:rsid w:val="7CEB202E"/>
    <w:rsid w:val="7D8074AE"/>
    <w:rsid w:val="7F716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华文中宋" w:eastAsia="华文中宋"/>
      <w:bCs/>
      <w:sz w:val="28"/>
    </w:rPr>
  </w:style>
  <w:style w:type="paragraph" w:styleId="3">
    <w:name w:val="footer"/>
    <w:basedOn w:val="1"/>
    <w:qFormat/>
    <w:uiPriority w:val="99"/>
    <w:pPr>
      <w:tabs>
        <w:tab w:val="center" w:pos="4153"/>
        <w:tab w:val="right" w:pos="8306"/>
      </w:tabs>
      <w:snapToGrid w:val="0"/>
      <w:jc w:val="left"/>
    </w:pPr>
    <w:rPr>
      <w:sz w:val="18"/>
      <w:szCs w:val="20"/>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8"/>
    <w:basedOn w:val="8"/>
    <w:qFormat/>
    <w:uiPriority w:val="0"/>
    <w:pPr>
      <w:numPr>
        <w:ilvl w:val="2"/>
      </w:numPr>
    </w:pPr>
    <w:rPr>
      <w:b w:val="0"/>
    </w:rPr>
  </w:style>
  <w:style w:type="paragraph" w:customStyle="1" w:styleId="8">
    <w:name w:val="样式2"/>
    <w:basedOn w:val="1"/>
    <w:qFormat/>
    <w:uiPriority w:val="0"/>
    <w:pPr>
      <w:numPr>
        <w:ilvl w:val="1"/>
        <w:numId w:val="1"/>
      </w:numPr>
      <w:spacing w:beforeLines="50" w:line="276" w:lineRule="auto"/>
    </w:pPr>
    <w:rPr>
      <w:rFonts w:ascii="宋体" w:hAnsi="宋体"/>
      <w:b/>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4146</Words>
  <Characters>4254</Characters>
  <Lines>0</Lines>
  <Paragraphs>0</Paragraphs>
  <TotalTime>0</TotalTime>
  <ScaleCrop>false</ScaleCrop>
  <LinksUpToDate>false</LinksUpToDate>
  <CharactersWithSpaces>4403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33439</cp:lastModifiedBy>
  <dcterms:modified xsi:type="dcterms:W3CDTF">2023-08-01T08:18:15Z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76C9A4773B63434B9FC51B57D37D2DB1_11</vt:lpwstr>
  </property>
</Properties>
</file>