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EC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hAnsi="宋体" w:cs="宋体"/>
          <w:b/>
          <w:bCs/>
          <w:sz w:val="44"/>
          <w:szCs w:val="44"/>
          <w:u w:val="none" w:color="auto"/>
          <w:lang w:val="en-US" w:eastAsia="zh-CN"/>
        </w:rPr>
        <w:t>采购须知</w:t>
      </w:r>
    </w:p>
    <w:p w14:paraId="34DC8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  <w:t>注：</w:t>
      </w:r>
      <w:r>
        <w:rPr>
          <w:rFonts w:hint="eastAsia" w:hAnsi="宋体" w:cs="宋体"/>
          <w:b/>
          <w:bCs/>
          <w:sz w:val="28"/>
          <w:szCs w:val="28"/>
          <w:u w:val="single" w:color="auto"/>
          <w:lang w:val="en-US" w:eastAsia="zh-CN"/>
        </w:rPr>
        <w:t>技术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  <w:t>要求及商务要求以“★”标示的内容为实质性要求，属于必须遵守的条件；如不满足将作无效响应文件处理。</w:t>
      </w:r>
    </w:p>
    <w:p w14:paraId="67D4CC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  <w:t>一、项目概述</w:t>
      </w:r>
    </w:p>
    <w:p w14:paraId="62499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sz w:val="28"/>
          <w:szCs w:val="28"/>
          <w:u w:val="none" w:color="auto"/>
        </w:rPr>
        <w:t>供应商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为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eastAsia="zh-CN"/>
        </w:rPr>
        <w:t>四川江油画屏尚景景区管理有限责任公司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（以下简称采购人）</w:t>
      </w:r>
      <w:r>
        <w:rPr>
          <w:rFonts w:hint="eastAsia" w:hAnsi="宋体" w:cs="宋体"/>
          <w:sz w:val="28"/>
          <w:szCs w:val="28"/>
          <w:u w:val="none" w:color="auto"/>
          <w:lang w:val="en-US" w:eastAsia="zh-CN"/>
        </w:rPr>
        <w:t>提供食材供应商服务</w:t>
      </w:r>
      <w:r>
        <w:rPr>
          <w:rFonts w:hint="eastAsia" w:ascii="宋体" w:hAnsi="宋体" w:eastAsia="宋体" w:cs="宋体"/>
          <w:sz w:val="28"/>
          <w:szCs w:val="28"/>
          <w:u w:val="none" w:color="auto"/>
        </w:rPr>
        <w:t>。资金来源为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采购人</w:t>
      </w:r>
      <w:r>
        <w:rPr>
          <w:rFonts w:hint="eastAsia" w:ascii="宋体" w:hAnsi="宋体" w:eastAsia="宋体" w:cs="宋体"/>
          <w:sz w:val="28"/>
          <w:szCs w:val="28"/>
          <w:u w:val="none" w:color="auto"/>
        </w:rPr>
        <w:t>自筹资金，实际费用按实结算。</w:t>
      </w:r>
    </w:p>
    <w:p w14:paraId="2A94ED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 w:color="auto"/>
          <w:lang w:val="en-US" w:eastAsia="zh-CN"/>
        </w:rPr>
        <w:t>二、★技术、商务要求</w:t>
      </w:r>
    </w:p>
    <w:p w14:paraId="4F8F2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（一）技术要求</w:t>
      </w:r>
    </w:p>
    <w:p w14:paraId="3E18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1、</w:t>
      </w:r>
      <w:r>
        <w:rPr>
          <w:rFonts w:hint="eastAsia" w:hAnsi="宋体" w:eastAsia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none" w:color="auto"/>
        </w:rPr>
        <w:t>内容</w:t>
      </w: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eastAsia="zh-CN"/>
        </w:rPr>
        <w:t>：</w:t>
      </w:r>
      <w:r>
        <w:rPr>
          <w:rFonts w:hint="eastAsia" w:hAnsi="宋体" w:cs="宋体"/>
          <w:sz w:val="28"/>
          <w:szCs w:val="28"/>
          <w:u w:val="none" w:color="auto"/>
          <w:lang w:val="en-US" w:eastAsia="zh-CN"/>
        </w:rPr>
        <w:t>江油市武都镇窦圌山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景区</w:t>
      </w:r>
      <w:r>
        <w:rPr>
          <w:rFonts w:hint="eastAsia" w:hAnsi="宋体" w:cs="宋体"/>
          <w:sz w:val="28"/>
          <w:szCs w:val="28"/>
          <w:u w:val="none" w:color="auto"/>
          <w:lang w:val="en-US" w:eastAsia="zh-CN"/>
        </w:rPr>
        <w:t>奇峰国际酒店提供食材供应，包括但不限于：蔬菜类、水果类、肉类、面粉及面制品类、大米类、食用油类、调味品及干货类等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。</w:t>
      </w:r>
    </w:p>
    <w:p w14:paraId="28F9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2、</w:t>
      </w:r>
      <w:r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  <w:t>产品质量要求（响应文件中根据自身情况提供承诺）</w:t>
      </w:r>
    </w:p>
    <w:p w14:paraId="03C65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响应产品必须符合国家相关标准和强制性规定要求，为质量合格产品。所列产品标准如国家有调整的，应以调整后的最新标准为准。产品生产（包括原料采购、加工、运输、贮存等）应满足《GB14881-2013食品安全国家标准食品生产通用卫生规范》及相应产品的标准要求。</w:t>
      </w:r>
    </w:p>
    <w:p w14:paraId="47609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  <w:t>3、服务</w:t>
      </w:r>
      <w:r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  <w:t>要求</w:t>
      </w:r>
    </w:p>
    <w:p w14:paraId="75BAD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合同签订后，从正式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提供</w:t>
      </w:r>
      <w:r>
        <w:rPr>
          <w:rFonts w:hint="eastAsia" w:hAnsi="宋体" w:cs="宋体"/>
          <w:sz w:val="28"/>
          <w:szCs w:val="28"/>
          <w:u w:val="none" w:color="auto"/>
          <w:lang w:val="en-US" w:eastAsia="zh-CN"/>
        </w:rPr>
        <w:t>食材供应商服务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之日起，每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次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采购人将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订单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下单给食材供应商服务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单位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，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服务单位应根据与采购人约定的时间内，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将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订单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上所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包含的所有食材种类、数量在采购人规定时间内送至双方约定地点，并交由采购人进行现场验收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。如遇不可抗力造成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维修服务时间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延误的，经采购人同意后，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服务单位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按采购人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另行约定时间内完成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。（响应文件中根据自身情况提供承诺）</w:t>
      </w:r>
    </w:p>
    <w:p w14:paraId="10B994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  <w:t>结算基础价</w:t>
      </w:r>
    </w:p>
    <w:p w14:paraId="789D9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（1）</w:t>
      </w:r>
      <w:r>
        <w:rPr>
          <w:rFonts w:hint="eastAsia" w:hAnsi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结算基础价：以主要以绵阳市发展和改革委员会网站公布的绵阳市粮油、肉、水产品、蔬菜价格为结算基础价格；对于绵阳市发展和改革委员会网站未公布的配送产品，由采购人和供应商参照市场价（以蔬菜市场或超市同类价格低的为准）确定为结算基础价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。</w:t>
      </w:r>
    </w:p>
    <w:p w14:paraId="504B1B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  <w:t>结算方式</w:t>
      </w:r>
    </w:p>
    <w:p w14:paraId="635640B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付款方式：无预付款、每</w:t>
      </w: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月</w:t>
      </w: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结算一次，</w:t>
      </w: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次月15日前支付上一月供应食材的款项。</w:t>
      </w:r>
    </w:p>
    <w:p w14:paraId="55EC455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实际结算价格计算公式：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实际结算价 = 结算基础价×投标报价（折扣率）×数量。</w:t>
      </w:r>
    </w:p>
    <w:p w14:paraId="398E2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（3）维修服务</w:t>
      </w: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期限：</w:t>
      </w: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3</w:t>
      </w: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年。</w:t>
      </w:r>
    </w:p>
    <w:p w14:paraId="176632A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6" w:firstLineChars="200"/>
        <w:textAlignment w:val="auto"/>
        <w:rPr>
          <w:rFonts w:hint="eastAsia" w:hAnsi="宋体" w:cs="宋体"/>
          <w:b/>
          <w:bCs/>
          <w:spacing w:val="16"/>
          <w:sz w:val="28"/>
          <w:szCs w:val="28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pacing w:val="16"/>
          <w:sz w:val="28"/>
          <w:szCs w:val="28"/>
          <w:u w:val="none" w:color="auto"/>
          <w:lang w:val="en-US" w:eastAsia="zh-CN"/>
        </w:rPr>
        <w:t>商务要求</w:t>
      </w:r>
    </w:p>
    <w:tbl>
      <w:tblPr>
        <w:tblStyle w:val="7"/>
        <w:tblW w:w="100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3409"/>
        <w:gridCol w:w="6089"/>
      </w:tblGrid>
      <w:tr w14:paraId="4DA28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8" w:type="dxa"/>
            <w:noWrap w:val="0"/>
            <w:vAlign w:val="top"/>
          </w:tcPr>
          <w:p w14:paraId="0AAA8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  <w:t>序号</w:t>
            </w:r>
          </w:p>
        </w:tc>
        <w:tc>
          <w:tcPr>
            <w:tcW w:w="3409" w:type="dxa"/>
            <w:noWrap w:val="0"/>
            <w:vAlign w:val="top"/>
          </w:tcPr>
          <w:p w14:paraId="55EC7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  <w:t>内容</w:t>
            </w:r>
          </w:p>
        </w:tc>
        <w:tc>
          <w:tcPr>
            <w:tcW w:w="6089" w:type="dxa"/>
            <w:noWrap w:val="0"/>
            <w:vAlign w:val="top"/>
          </w:tcPr>
          <w:p w14:paraId="128E4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  <w:t>招标/采购要求</w:t>
            </w:r>
          </w:p>
        </w:tc>
      </w:tr>
      <w:tr w14:paraId="1C7AB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8" w:type="dxa"/>
            <w:noWrap w:val="0"/>
            <w:vAlign w:val="top"/>
          </w:tcPr>
          <w:p w14:paraId="26052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1</w:t>
            </w:r>
          </w:p>
        </w:tc>
        <w:tc>
          <w:tcPr>
            <w:tcW w:w="3409" w:type="dxa"/>
            <w:noWrap w:val="0"/>
            <w:vAlign w:val="top"/>
          </w:tcPr>
          <w:p w14:paraId="01E29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服务期限</w:t>
            </w:r>
          </w:p>
        </w:tc>
        <w:tc>
          <w:tcPr>
            <w:tcW w:w="6089" w:type="dxa"/>
            <w:noWrap w:val="0"/>
            <w:vAlign w:val="top"/>
          </w:tcPr>
          <w:p w14:paraId="65312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 w:color="auto"/>
              </w:rPr>
              <w:t>服务期限为三年</w:t>
            </w:r>
          </w:p>
        </w:tc>
      </w:tr>
      <w:tr w14:paraId="30CD6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88" w:type="dxa"/>
            <w:noWrap w:val="0"/>
            <w:vAlign w:val="top"/>
          </w:tcPr>
          <w:p w14:paraId="0129A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2</w:t>
            </w:r>
          </w:p>
        </w:tc>
        <w:tc>
          <w:tcPr>
            <w:tcW w:w="3409" w:type="dxa"/>
            <w:noWrap w:val="0"/>
            <w:vAlign w:val="top"/>
          </w:tcPr>
          <w:p w14:paraId="54CB2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6089" w:type="dxa"/>
            <w:noWrap w:val="0"/>
            <w:vAlign w:val="top"/>
          </w:tcPr>
          <w:p w14:paraId="79D8E253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u w:val="none" w:color="auto"/>
                <w:lang w:val="en-US" w:eastAsia="zh-CN"/>
              </w:rPr>
              <w:t>四川江油画屏尚景景区管理有限责任公司</w:t>
            </w:r>
          </w:p>
        </w:tc>
      </w:tr>
      <w:tr w14:paraId="44929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88" w:type="dxa"/>
            <w:noWrap w:val="0"/>
            <w:vAlign w:val="top"/>
          </w:tcPr>
          <w:p w14:paraId="2B7F1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3</w:t>
            </w:r>
          </w:p>
        </w:tc>
        <w:tc>
          <w:tcPr>
            <w:tcW w:w="3409" w:type="dxa"/>
            <w:noWrap w:val="0"/>
            <w:vAlign w:val="top"/>
          </w:tcPr>
          <w:p w14:paraId="2640C0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hAnsi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6089" w:type="dxa"/>
            <w:noWrap w:val="0"/>
            <w:vAlign w:val="top"/>
          </w:tcPr>
          <w:p w14:paraId="606D1B97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u w:val="none" w:color="auto"/>
                <w:lang w:val="en-US" w:eastAsia="zh-CN"/>
              </w:rPr>
              <w:t>江油市武都镇窦圌山景区奇峰国际酒店</w:t>
            </w:r>
          </w:p>
        </w:tc>
      </w:tr>
      <w:tr w14:paraId="6AD59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88" w:type="dxa"/>
            <w:noWrap w:val="0"/>
            <w:vAlign w:val="top"/>
          </w:tcPr>
          <w:p w14:paraId="782BE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4</w:t>
            </w:r>
          </w:p>
        </w:tc>
        <w:tc>
          <w:tcPr>
            <w:tcW w:w="3409" w:type="dxa"/>
            <w:noWrap w:val="0"/>
            <w:vAlign w:val="top"/>
          </w:tcPr>
          <w:p w14:paraId="0BD7C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履约､验收要求与标准</w:t>
            </w:r>
          </w:p>
        </w:tc>
        <w:tc>
          <w:tcPr>
            <w:tcW w:w="6089" w:type="dxa"/>
            <w:noWrap w:val="0"/>
            <w:vAlign w:val="top"/>
          </w:tcPr>
          <w:p w14:paraId="761E1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按合同要求验收</w:t>
            </w:r>
          </w:p>
        </w:tc>
      </w:tr>
      <w:tr w14:paraId="5AB2C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588" w:type="dxa"/>
            <w:noWrap w:val="0"/>
            <w:vAlign w:val="center"/>
          </w:tcPr>
          <w:p w14:paraId="149BF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5</w:t>
            </w:r>
          </w:p>
        </w:tc>
        <w:tc>
          <w:tcPr>
            <w:tcW w:w="3409" w:type="dxa"/>
            <w:noWrap w:val="0"/>
            <w:vAlign w:val="center"/>
          </w:tcPr>
          <w:p w14:paraId="54C07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款项支付方式</w:t>
            </w:r>
          </w:p>
        </w:tc>
        <w:tc>
          <w:tcPr>
            <w:tcW w:w="6089" w:type="dxa"/>
            <w:noWrap w:val="0"/>
            <w:vAlign w:val="center"/>
          </w:tcPr>
          <w:p w14:paraId="3C5D7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无预付款、每月结算一次，次月15日前支付上一月</w:t>
            </w:r>
          </w:p>
          <w:p w14:paraId="72D8D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供应食材的款项</w:t>
            </w:r>
          </w:p>
        </w:tc>
      </w:tr>
      <w:tr w14:paraId="552C5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88" w:type="dxa"/>
            <w:noWrap w:val="0"/>
            <w:vAlign w:val="center"/>
          </w:tcPr>
          <w:p w14:paraId="08688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6</w:t>
            </w:r>
          </w:p>
        </w:tc>
        <w:tc>
          <w:tcPr>
            <w:tcW w:w="3409" w:type="dxa"/>
            <w:noWrap w:val="0"/>
            <w:vAlign w:val="center"/>
          </w:tcPr>
          <w:p w14:paraId="24CB71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质保及售后服务要求/</w:t>
            </w:r>
          </w:p>
          <w:p w14:paraId="30E6D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后续服务要求</w:t>
            </w:r>
          </w:p>
        </w:tc>
        <w:tc>
          <w:tcPr>
            <w:tcW w:w="6089" w:type="dxa"/>
            <w:noWrap w:val="0"/>
            <w:vAlign w:val="center"/>
          </w:tcPr>
          <w:p w14:paraId="1EB7C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按照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国家</w:t>
            </w: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及行业标准执行</w:t>
            </w:r>
          </w:p>
        </w:tc>
      </w:tr>
      <w:tr w14:paraId="7565A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88" w:type="dxa"/>
            <w:noWrap w:val="0"/>
            <w:vAlign w:val="top"/>
          </w:tcPr>
          <w:p w14:paraId="63216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hAnsi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7</w:t>
            </w:r>
          </w:p>
        </w:tc>
        <w:tc>
          <w:tcPr>
            <w:tcW w:w="3409" w:type="dxa"/>
            <w:noWrap w:val="0"/>
            <w:vAlign w:val="top"/>
          </w:tcPr>
          <w:p w14:paraId="6CDEA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  <w:t>最终报价</w:t>
            </w:r>
          </w:p>
        </w:tc>
        <w:tc>
          <w:tcPr>
            <w:tcW w:w="6089" w:type="dxa"/>
            <w:noWrap w:val="0"/>
            <w:vAlign w:val="top"/>
          </w:tcPr>
          <w:p w14:paraId="2547F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hAnsi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  <w:t>以本项目采购活动中折扣率最高的报价作为统一最终报价</w:t>
            </w:r>
          </w:p>
        </w:tc>
      </w:tr>
    </w:tbl>
    <w:p w14:paraId="37E06704">
      <w:pPr>
        <w:pStyle w:val="2"/>
        <w:rPr>
          <w:sz w:val="32"/>
          <w:szCs w:val="24"/>
        </w:rPr>
      </w:pPr>
    </w:p>
    <w:sectPr>
      <w:pgSz w:w="11906" w:h="16838"/>
      <w:pgMar w:top="1429" w:right="1083" w:bottom="1417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BE677"/>
    <w:multiLevelType w:val="singleLevel"/>
    <w:tmpl w:val="0B7BE67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CA712E2"/>
    <w:multiLevelType w:val="singleLevel"/>
    <w:tmpl w:val="5CA712E2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641625B1"/>
    <w:multiLevelType w:val="singleLevel"/>
    <w:tmpl w:val="641625B1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69F2C24B"/>
    <w:multiLevelType w:val="singleLevel"/>
    <w:tmpl w:val="69F2C24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49E42AC1"/>
    <w:rsid w:val="008C1F65"/>
    <w:rsid w:val="028027D0"/>
    <w:rsid w:val="04477AA3"/>
    <w:rsid w:val="054F0DEE"/>
    <w:rsid w:val="0A0B046F"/>
    <w:rsid w:val="0AD0197F"/>
    <w:rsid w:val="0AF0197C"/>
    <w:rsid w:val="0D5A43A4"/>
    <w:rsid w:val="0FB6797A"/>
    <w:rsid w:val="0FE3343B"/>
    <w:rsid w:val="0FFF6590"/>
    <w:rsid w:val="12721CD9"/>
    <w:rsid w:val="213D3B4A"/>
    <w:rsid w:val="22780E98"/>
    <w:rsid w:val="27F96DB6"/>
    <w:rsid w:val="29A0670C"/>
    <w:rsid w:val="29C076DF"/>
    <w:rsid w:val="2A0F5F09"/>
    <w:rsid w:val="2C3D5915"/>
    <w:rsid w:val="2ECC2FC4"/>
    <w:rsid w:val="302A5383"/>
    <w:rsid w:val="37804521"/>
    <w:rsid w:val="383B5FF2"/>
    <w:rsid w:val="38DD1141"/>
    <w:rsid w:val="3DCE7409"/>
    <w:rsid w:val="3F3E3A12"/>
    <w:rsid w:val="404D65D2"/>
    <w:rsid w:val="407F7B7A"/>
    <w:rsid w:val="460F704F"/>
    <w:rsid w:val="47985C3B"/>
    <w:rsid w:val="49E42AC1"/>
    <w:rsid w:val="4AA77A29"/>
    <w:rsid w:val="4B272E10"/>
    <w:rsid w:val="4DA30E74"/>
    <w:rsid w:val="529F5982"/>
    <w:rsid w:val="53561B69"/>
    <w:rsid w:val="552275B9"/>
    <w:rsid w:val="598554A3"/>
    <w:rsid w:val="5A232F4C"/>
    <w:rsid w:val="5BC96992"/>
    <w:rsid w:val="60EE3B1A"/>
    <w:rsid w:val="619E013E"/>
    <w:rsid w:val="62116297"/>
    <w:rsid w:val="66020376"/>
    <w:rsid w:val="666E5DC4"/>
    <w:rsid w:val="669B754D"/>
    <w:rsid w:val="67BF05E8"/>
    <w:rsid w:val="68747D9A"/>
    <w:rsid w:val="69654324"/>
    <w:rsid w:val="6B750FBA"/>
    <w:rsid w:val="789118CD"/>
    <w:rsid w:val="79ED50E0"/>
    <w:rsid w:val="79F0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黑体"/>
      <w:sz w:val="3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First Indent 2"/>
    <w:basedOn w:val="1"/>
    <w:next w:val="1"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02、首行缩进2字符正文"/>
    <w:basedOn w:val="1"/>
    <w:autoRedefine/>
    <w:qFormat/>
    <w:uiPriority w:val="0"/>
    <w:pPr>
      <w:tabs>
        <w:tab w:val="left" w:pos="0"/>
      </w:tabs>
      <w:wordWrap w:val="0"/>
      <w:topLinePunct/>
      <w:ind w:firstLine="480" w:firstLineChars="200"/>
    </w:pPr>
    <w:rPr>
      <w:rFonts w:hAnsi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778</Characters>
  <Lines>0</Lines>
  <Paragraphs>0</Paragraphs>
  <TotalTime>0</TotalTime>
  <ScaleCrop>false</ScaleCrop>
  <LinksUpToDate>false</LinksUpToDate>
  <CharactersWithSpaces>780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2022-11-22T14:40:00Z</dcterms:created>
  <dc:creator>一路向前</dc:creator>
  <cp:lastModifiedBy>一路向前</cp:lastModifiedBy>
  <cp:lastPrinted>2025-04-16T10:40:00Z</cp:lastPrinted>
  <dcterms:modified xsi:type="dcterms:W3CDTF">2025-08-21T08:02:28Z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567833587BAA45538C4E579981F7966E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