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为江油市李白故居文化旅游开发有限公司创建李白故里省级旅游度假区提供宽窄巷子视频制作、成都地铁1-4号线视频制作、成都交子大道推介活动等宣传推广服务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3AE72D0C">
      <w:pPr>
        <w:pStyle w:val="2"/>
        <w:numPr>
          <w:ilvl w:val="0"/>
          <w:numId w:val="2"/>
        </w:numPr>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创建李白故里省级旅游度假区宣传推广服务最高限价为人民币725000元。（明细详见下表）</w:t>
      </w:r>
    </w:p>
    <w:tbl>
      <w:tblPr>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09"/>
        <w:gridCol w:w="888"/>
        <w:gridCol w:w="2136"/>
        <w:gridCol w:w="698"/>
        <w:gridCol w:w="698"/>
        <w:gridCol w:w="936"/>
        <w:gridCol w:w="939"/>
        <w:gridCol w:w="1043"/>
        <w:gridCol w:w="1913"/>
      </w:tblGrid>
      <w:tr w14:paraId="56A2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1" w:hRule="atLeast"/>
        </w:trPr>
        <w:tc>
          <w:tcPr>
            <w:tcW w:w="9760" w:type="dxa"/>
            <w:gridSpan w:val="9"/>
            <w:tcBorders>
              <w:top w:val="single" w:color="000000" w:sz="4" w:space="0"/>
              <w:left w:val="single" w:color="000000" w:sz="4" w:space="0"/>
              <w:bottom w:val="single" w:color="000000" w:sz="4" w:space="0"/>
              <w:right w:val="single" w:color="000000" w:sz="4" w:space="0"/>
            </w:tcBorders>
            <w:shd w:val="clear"/>
            <w:noWrap/>
            <w:vAlign w:val="center"/>
          </w:tcPr>
          <w:p w14:paraId="190D650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spacing w:val="0"/>
                <w:w w:val="100"/>
                <w:kern w:val="0"/>
                <w:position w:val="0"/>
                <w:sz w:val="36"/>
                <w:szCs w:val="36"/>
                <w:u w:val="none"/>
                <w:bdr w:val="none" w:color="auto" w:sz="0" w:space="0"/>
                <w:shd w:val="clear" w:color="auto" w:fill="auto"/>
                <w:lang w:val="en-US" w:eastAsia="zh-CN" w:bidi="ar"/>
              </w:rPr>
              <w:t>创建李白故里省级旅游度假区宣传推广服务明细表</w:t>
            </w:r>
          </w:p>
        </w:tc>
      </w:tr>
      <w:tr w14:paraId="4F7B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5" w:hRule="atLeast"/>
        </w:trPr>
        <w:tc>
          <w:tcPr>
            <w:tcW w:w="509" w:type="dxa"/>
            <w:tcBorders>
              <w:top w:val="single" w:color="000000" w:sz="4" w:space="0"/>
              <w:left w:val="single" w:color="000000" w:sz="4" w:space="0"/>
              <w:bottom w:val="single" w:color="000000" w:sz="4" w:space="0"/>
              <w:right w:val="single" w:color="000000" w:sz="4" w:space="0"/>
            </w:tcBorders>
            <w:shd w:val="clear"/>
            <w:noWrap/>
            <w:vAlign w:val="center"/>
          </w:tcPr>
          <w:p w14:paraId="78EA12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序号</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06E57D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项目</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4E0B04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项目描述</w:t>
            </w: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351430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数量</w:t>
            </w:r>
          </w:p>
        </w:tc>
        <w:tc>
          <w:tcPr>
            <w:tcW w:w="698" w:type="dxa"/>
            <w:tcBorders>
              <w:top w:val="single" w:color="000000" w:sz="4" w:space="0"/>
              <w:left w:val="single" w:color="000000" w:sz="4" w:space="0"/>
              <w:bottom w:val="single" w:color="000000" w:sz="4" w:space="0"/>
              <w:right w:val="single" w:color="000000" w:sz="4" w:space="0"/>
            </w:tcBorders>
            <w:shd w:val="clear"/>
            <w:noWrap/>
            <w:vAlign w:val="center"/>
          </w:tcPr>
          <w:p w14:paraId="643955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14:paraId="797751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单价</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14:paraId="648F97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金额</w:t>
            </w: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（元）</w:t>
            </w:r>
          </w:p>
        </w:tc>
        <w:tc>
          <w:tcPr>
            <w:tcW w:w="1043" w:type="dxa"/>
            <w:tcBorders>
              <w:top w:val="single" w:color="000000" w:sz="4" w:space="0"/>
              <w:left w:val="single" w:color="000000" w:sz="4" w:space="0"/>
              <w:bottom w:val="single" w:color="000000" w:sz="4" w:space="0"/>
              <w:right w:val="single" w:color="000000" w:sz="4" w:space="0"/>
            </w:tcBorders>
            <w:shd w:val="clear"/>
            <w:noWrap/>
            <w:vAlign w:val="center"/>
          </w:tcPr>
          <w:p w14:paraId="3B9D2A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完成时间</w:t>
            </w:r>
          </w:p>
        </w:tc>
        <w:tc>
          <w:tcPr>
            <w:tcW w:w="1913" w:type="dxa"/>
            <w:tcBorders>
              <w:top w:val="single" w:color="000000" w:sz="4" w:space="0"/>
              <w:left w:val="single" w:color="000000" w:sz="4" w:space="0"/>
              <w:bottom w:val="single" w:color="000000" w:sz="4" w:space="0"/>
              <w:right w:val="single" w:color="000000" w:sz="4" w:space="0"/>
            </w:tcBorders>
            <w:shd w:val="clear"/>
            <w:noWrap/>
            <w:vAlign w:val="center"/>
          </w:tcPr>
          <w:p w14:paraId="3FE377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说明</w:t>
            </w:r>
          </w:p>
        </w:tc>
      </w:tr>
      <w:tr w14:paraId="60A9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9"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208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w:t>
            </w:r>
          </w:p>
        </w:tc>
        <w:tc>
          <w:tcPr>
            <w:tcW w:w="88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37FC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视频创意、拍摄、剪辑</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382E0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度假区创建汇报视频（3-5分钟）</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1DC91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34E25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7BB72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80000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14:paraId="42A78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80000</w:t>
            </w:r>
          </w:p>
        </w:tc>
        <w:tc>
          <w:tcPr>
            <w:tcW w:w="10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265E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 xml:space="preserve">1、15秒视频广告9月20日左右；         </w:t>
            </w: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2、汇报视频10月15日左右。</w:t>
            </w:r>
          </w:p>
        </w:tc>
        <w:tc>
          <w:tcPr>
            <w:tcW w:w="19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7FEE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画面分辨率：3840×2800px【4K】；音频：-6.0dB；帧速率：25fps-60fps；比特率：20Mb-80Mb以内。</w:t>
            </w:r>
          </w:p>
        </w:tc>
      </w:tr>
      <w:tr w14:paraId="0902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12BC8C">
            <w:pPr>
              <w:jc w:val="center"/>
              <w:rPr>
                <w:rFonts w:hint="eastAsia" w:ascii="宋体" w:hAnsi="宋体" w:eastAsia="宋体" w:cs="宋体"/>
                <w:i w:val="0"/>
                <w:iCs w:val="0"/>
                <w:color w:val="000000"/>
                <w:sz w:val="24"/>
                <w:szCs w:val="24"/>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98951D">
            <w:pPr>
              <w:jc w:val="center"/>
              <w:rPr>
                <w:rFonts w:hint="eastAsia" w:ascii="宋体" w:hAnsi="宋体" w:eastAsia="宋体" w:cs="宋体"/>
                <w:b/>
                <w:bCs/>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B9F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宣传视频（15秒）</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6FD89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B3EE37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04D9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50000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14:paraId="02A96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50000</w:t>
            </w:r>
          </w:p>
        </w:tc>
        <w:tc>
          <w:tcPr>
            <w:tcW w:w="10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99E623">
            <w:pPr>
              <w:jc w:val="left"/>
              <w:rPr>
                <w:rFonts w:hint="eastAsia" w:ascii="宋体" w:hAnsi="宋体" w:eastAsia="宋体" w:cs="宋体"/>
                <w:i w:val="0"/>
                <w:iCs w:val="0"/>
                <w:color w:val="000000"/>
                <w:sz w:val="24"/>
                <w:szCs w:val="24"/>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D70143">
            <w:pPr>
              <w:rPr>
                <w:rFonts w:hint="eastAsia" w:ascii="宋体" w:hAnsi="宋体" w:eastAsia="宋体" w:cs="宋体"/>
                <w:i w:val="0"/>
                <w:iCs w:val="0"/>
                <w:color w:val="000000"/>
                <w:sz w:val="24"/>
                <w:szCs w:val="24"/>
                <w:u w:val="none"/>
              </w:rPr>
            </w:pPr>
          </w:p>
        </w:tc>
      </w:tr>
      <w:tr w14:paraId="23C6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9" w:hRule="atLeast"/>
        </w:trPr>
        <w:tc>
          <w:tcPr>
            <w:tcW w:w="509" w:type="dxa"/>
            <w:tcBorders>
              <w:top w:val="single" w:color="000000" w:sz="4" w:space="0"/>
              <w:left w:val="single" w:color="000000" w:sz="4" w:space="0"/>
              <w:bottom w:val="single" w:color="000000" w:sz="4" w:space="0"/>
              <w:right w:val="single" w:color="000000" w:sz="4" w:space="0"/>
            </w:tcBorders>
            <w:shd w:val="clear"/>
            <w:vAlign w:val="center"/>
          </w:tcPr>
          <w:p w14:paraId="30411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1C4787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春熙路中山广场视频广告投放（15秒）</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55BCC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14.4m*20.16m(H）=290.3</w:t>
            </w:r>
            <w:r>
              <w:rPr>
                <w:rFonts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w:t>
            </w: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每天播放：60次</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B74B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A0B9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天</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EC8B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18000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14:paraId="4582B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126000</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6FF5E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9月20日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34860E06">
            <w:pPr>
              <w:rPr>
                <w:rFonts w:hint="eastAsia" w:ascii="宋体" w:hAnsi="宋体" w:eastAsia="宋体" w:cs="宋体"/>
                <w:i w:val="0"/>
                <w:iCs w:val="0"/>
                <w:color w:val="000000"/>
                <w:sz w:val="20"/>
                <w:szCs w:val="20"/>
                <w:u w:val="none"/>
              </w:rPr>
            </w:pPr>
          </w:p>
        </w:tc>
      </w:tr>
      <w:tr w14:paraId="3C42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7" w:hRule="atLeast"/>
        </w:trPr>
        <w:tc>
          <w:tcPr>
            <w:tcW w:w="509" w:type="dxa"/>
            <w:tcBorders>
              <w:top w:val="single" w:color="000000" w:sz="4" w:space="0"/>
              <w:left w:val="single" w:color="000000" w:sz="4" w:space="0"/>
              <w:bottom w:val="single" w:color="000000" w:sz="4" w:space="0"/>
              <w:right w:val="single" w:color="000000" w:sz="4" w:space="0"/>
            </w:tcBorders>
            <w:shd w:val="clear"/>
            <w:vAlign w:val="center"/>
          </w:tcPr>
          <w:p w14:paraId="3C870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7E122EE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第一阶段：成都地铁视频广告投放</w:t>
            </w: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（15秒）</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77B04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成都地铁1、2号线</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3E5FF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7B390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天  （播送16次/天）</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3CA6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7200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14:paraId="575F1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50400</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2E8B2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9月20日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4032392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bdr w:val="none" w:color="auto" w:sz="0" w:space="0"/>
                <w:shd w:val="clear" w:color="auto" w:fill="auto"/>
                <w:lang w:val="en-US" w:eastAsia="zh-CN" w:bidi="ar"/>
              </w:rPr>
              <w:t>1号线：</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站点数量35个、列车数73辆、站厅162个、站台372个、站厅站台PIS屏数534块、列车屏数3212块、PIS屏总数3746块；                     </w:t>
            </w:r>
            <w:r>
              <w:rPr>
                <w:rFonts w:hint="eastAsia" w:ascii="宋体" w:hAnsi="宋体" w:eastAsia="宋体" w:cs="宋体"/>
                <w:b/>
                <w:bCs/>
                <w:i w:val="0"/>
                <w:iCs w:val="0"/>
                <w:color w:val="000000"/>
                <w:spacing w:val="0"/>
                <w:w w:val="100"/>
                <w:kern w:val="0"/>
                <w:position w:val="0"/>
                <w:sz w:val="20"/>
                <w:szCs w:val="20"/>
                <w:u w:val="none"/>
                <w:bdr w:val="none" w:color="auto" w:sz="0" w:space="0"/>
                <w:shd w:val="clear" w:color="auto" w:fill="auto"/>
                <w:lang w:val="en-US" w:eastAsia="zh-CN" w:bidi="ar"/>
              </w:rPr>
              <w:t>2号线：</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站点数量32个、列车数70辆、站厅224个、站台252个、站厅站台PIS屏数476块、列车屏数3248块、PIS屏总数3724块。</w:t>
            </w:r>
          </w:p>
        </w:tc>
      </w:tr>
      <w:tr w14:paraId="60B3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78" w:hRule="atLeast"/>
        </w:trPr>
        <w:tc>
          <w:tcPr>
            <w:tcW w:w="509" w:type="dxa"/>
            <w:tcBorders>
              <w:top w:val="single" w:color="000000" w:sz="4" w:space="0"/>
              <w:left w:val="single" w:color="000000" w:sz="4" w:space="0"/>
              <w:bottom w:val="single" w:color="000000" w:sz="4" w:space="0"/>
              <w:right w:val="single" w:color="000000" w:sz="4" w:space="0"/>
            </w:tcBorders>
            <w:shd w:val="clear"/>
            <w:vAlign w:val="center"/>
          </w:tcPr>
          <w:p w14:paraId="6F7FE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3E95AA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 xml:space="preserve">成都地推活动 </w:t>
            </w: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（成都交子大道东方希望大厦）</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7A700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执行方案见附件</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6C2D8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2ABC6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E930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322400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14:paraId="42483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322400</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30BA8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10月15日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1B9B69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成都网红街交子大道</w:t>
            </w:r>
          </w:p>
        </w:tc>
      </w:tr>
      <w:tr w14:paraId="7A0B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7" w:hRule="atLeast"/>
        </w:trPr>
        <w:tc>
          <w:tcPr>
            <w:tcW w:w="509" w:type="dxa"/>
            <w:tcBorders>
              <w:top w:val="single" w:color="000000" w:sz="4" w:space="0"/>
              <w:left w:val="single" w:color="000000" w:sz="4" w:space="0"/>
              <w:bottom w:val="single" w:color="000000" w:sz="4" w:space="0"/>
              <w:right w:val="single" w:color="000000" w:sz="4" w:space="0"/>
            </w:tcBorders>
            <w:shd w:val="clear"/>
            <w:vAlign w:val="center"/>
          </w:tcPr>
          <w:p w14:paraId="56194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3D7073E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第二阶段：成都地铁视频广告投放</w:t>
            </w: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（15秒）</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250C4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成都地铁4、7号线</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18FC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2F236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天  （播送16次/天）</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DB67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6600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14:paraId="5F64F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46200</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6A5DA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11月15日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22ED3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4号线：站点数量30个、列车数62辆、站厅215个、站台296个、站厅站台PIS屏数511块、列车屏数2976块、PIS屏总数3487块；                     7号线：站点数量31个、列车数53辆、站厅223个、站台384个、站厅站台PIS屏数607块、列车屏数2544块、PIS屏总数3151块。</w:t>
            </w:r>
          </w:p>
        </w:tc>
      </w:tr>
      <w:tr w14:paraId="6C77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72" w:hRule="atLeast"/>
        </w:trPr>
        <w:tc>
          <w:tcPr>
            <w:tcW w:w="509" w:type="dxa"/>
            <w:tcBorders>
              <w:top w:val="single" w:color="000000" w:sz="4" w:space="0"/>
              <w:left w:val="single" w:color="000000" w:sz="4" w:space="0"/>
              <w:bottom w:val="single" w:color="000000" w:sz="4" w:space="0"/>
              <w:right w:val="single" w:color="000000" w:sz="4" w:space="0"/>
            </w:tcBorders>
            <w:shd w:val="clear"/>
            <w:vAlign w:val="center"/>
          </w:tcPr>
          <w:p w14:paraId="4257E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101ACCA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新媒体H5宣传专用图文页</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3C6DB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用于小红书、官方两微一抖等新媒体矩阵等投放推广</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05875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14:paraId="4D502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篇</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AB26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25000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14:paraId="5840F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50000</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2A46B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9月25日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77338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全面介绍度假区的独特文化魅力。</w:t>
            </w:r>
          </w:p>
        </w:tc>
      </w:tr>
      <w:tr w14:paraId="7E70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5" w:hRule="atLeast"/>
        </w:trPr>
        <w:tc>
          <w:tcPr>
            <w:tcW w:w="509" w:type="dxa"/>
            <w:tcBorders>
              <w:top w:val="single" w:color="000000" w:sz="4" w:space="0"/>
              <w:left w:val="single" w:color="000000" w:sz="4" w:space="0"/>
              <w:bottom w:val="single" w:color="000000" w:sz="4" w:space="0"/>
              <w:right w:val="single" w:color="000000" w:sz="4" w:space="0"/>
            </w:tcBorders>
            <w:shd w:val="clear"/>
            <w:vAlign w:val="center"/>
          </w:tcPr>
          <w:p w14:paraId="453754D7">
            <w:pPr>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2A0B2A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合计</w:t>
            </w:r>
          </w:p>
        </w:tc>
        <w:tc>
          <w:tcPr>
            <w:tcW w:w="8363" w:type="dxa"/>
            <w:gridSpan w:val="7"/>
            <w:tcBorders>
              <w:top w:val="single" w:color="000000" w:sz="4" w:space="0"/>
              <w:left w:val="single" w:color="000000" w:sz="4" w:space="0"/>
              <w:bottom w:val="single" w:color="000000" w:sz="4" w:space="0"/>
              <w:right w:val="single" w:color="000000" w:sz="4" w:space="0"/>
            </w:tcBorders>
            <w:shd w:val="clear"/>
            <w:vAlign w:val="center"/>
          </w:tcPr>
          <w:p w14:paraId="7DC0B8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w w:val="100"/>
                <w:kern w:val="0"/>
                <w:position w:val="0"/>
                <w:sz w:val="24"/>
                <w:szCs w:val="24"/>
                <w:u w:val="none"/>
                <w:bdr w:val="none" w:color="auto" w:sz="0" w:space="0"/>
                <w:shd w:val="clear" w:color="auto" w:fill="auto"/>
                <w:lang w:val="en-US" w:eastAsia="zh-CN" w:bidi="ar"/>
              </w:rPr>
              <w:t>725000</w:t>
            </w:r>
          </w:p>
        </w:tc>
      </w:tr>
    </w:tbl>
    <w:p w14:paraId="1DC2AC21">
      <w:pPr>
        <w:rPr>
          <w:rFonts w:hint="eastAsia"/>
          <w:lang w:val="en-US" w:eastAsia="zh-CN"/>
        </w:rPr>
      </w:pP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594A9C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、报价需包含人工费、材料费、差旅费、税金等费用；</w:t>
      </w:r>
    </w:p>
    <w:p w14:paraId="056C978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6E257236">
      <w:pPr>
        <w:pStyle w:val="6"/>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成都市具有宣传推广效果场所</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按比选文件要求验收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D6688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zh-CN" w:eastAsia="zh-CN"/>
              </w:rPr>
              <w:t>所</w:t>
            </w:r>
            <w:r>
              <w:rPr>
                <w:rFonts w:hint="eastAsia" w:ascii="宋体" w:hAnsi="宋体" w:eastAsia="宋体" w:cs="宋体"/>
                <w:sz w:val="28"/>
                <w:szCs w:val="28"/>
                <w:u w:val="none" w:color="auto"/>
                <w:lang w:val="en-US" w:eastAsia="zh-CN"/>
              </w:rPr>
              <w:t>有宣传推广服务及内容</w:t>
            </w:r>
            <w:r>
              <w:rPr>
                <w:rFonts w:hint="eastAsia" w:ascii="宋体" w:hAnsi="宋体" w:eastAsia="宋体" w:cs="宋体"/>
                <w:sz w:val="28"/>
                <w:szCs w:val="28"/>
                <w:u w:val="none" w:color="auto"/>
                <w:lang w:val="zh-CN" w:eastAsia="zh-CN"/>
              </w:rPr>
              <w:t>必须符合</w:t>
            </w:r>
          </w:p>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合同签订后9</w:t>
            </w:r>
            <w:bookmarkStart w:id="0" w:name="_GoBack"/>
            <w:bookmarkEnd w:id="0"/>
            <w:r>
              <w:rPr>
                <w:rFonts w:hint="eastAsia" w:hAnsi="宋体" w:cs="宋体"/>
                <w:sz w:val="28"/>
                <w:szCs w:val="28"/>
                <w:u w:val="none" w:color="auto"/>
                <w:lang w:val="en-US" w:eastAsia="zh-CN"/>
              </w:rPr>
              <w:t>0日内完成及验收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B770BE62"/>
    <w:multiLevelType w:val="singleLevel"/>
    <w:tmpl w:val="B770BE6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0172A27"/>
    <w:rsid w:val="023C7B97"/>
    <w:rsid w:val="04166A81"/>
    <w:rsid w:val="04C410F4"/>
    <w:rsid w:val="052F3AB7"/>
    <w:rsid w:val="06AA22E5"/>
    <w:rsid w:val="09D771D4"/>
    <w:rsid w:val="0B36617C"/>
    <w:rsid w:val="0B603E17"/>
    <w:rsid w:val="0B903351"/>
    <w:rsid w:val="0CD44829"/>
    <w:rsid w:val="0CE949D7"/>
    <w:rsid w:val="10BB314E"/>
    <w:rsid w:val="11672464"/>
    <w:rsid w:val="12853ED2"/>
    <w:rsid w:val="134768DF"/>
    <w:rsid w:val="14224BF0"/>
    <w:rsid w:val="156D127C"/>
    <w:rsid w:val="161B669A"/>
    <w:rsid w:val="176F311A"/>
    <w:rsid w:val="192B21B3"/>
    <w:rsid w:val="19D94CAA"/>
    <w:rsid w:val="19E5114C"/>
    <w:rsid w:val="20C31381"/>
    <w:rsid w:val="241724D8"/>
    <w:rsid w:val="263113E7"/>
    <w:rsid w:val="26FB52ED"/>
    <w:rsid w:val="278C741F"/>
    <w:rsid w:val="29750895"/>
    <w:rsid w:val="298F4026"/>
    <w:rsid w:val="2B206C1F"/>
    <w:rsid w:val="2BE21A2F"/>
    <w:rsid w:val="2D3A16A4"/>
    <w:rsid w:val="2E3507E9"/>
    <w:rsid w:val="2F9E5F1A"/>
    <w:rsid w:val="300C3A87"/>
    <w:rsid w:val="31FB19F3"/>
    <w:rsid w:val="328B74C5"/>
    <w:rsid w:val="333D2DB4"/>
    <w:rsid w:val="34086058"/>
    <w:rsid w:val="360C0D29"/>
    <w:rsid w:val="361719C1"/>
    <w:rsid w:val="36545584"/>
    <w:rsid w:val="37086FD6"/>
    <w:rsid w:val="37512F06"/>
    <w:rsid w:val="397043E6"/>
    <w:rsid w:val="3ABD63E8"/>
    <w:rsid w:val="3AF70BD4"/>
    <w:rsid w:val="3B52750D"/>
    <w:rsid w:val="3D320538"/>
    <w:rsid w:val="3E1A1FCA"/>
    <w:rsid w:val="3EE42ED1"/>
    <w:rsid w:val="3F302B6D"/>
    <w:rsid w:val="40B62ABF"/>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AFB1A99"/>
    <w:rsid w:val="5B597072"/>
    <w:rsid w:val="5B7D3FF5"/>
    <w:rsid w:val="5CD851F3"/>
    <w:rsid w:val="5DEA21A7"/>
    <w:rsid w:val="5FA21143"/>
    <w:rsid w:val="5FC15772"/>
    <w:rsid w:val="5FC15FA1"/>
    <w:rsid w:val="606D70BF"/>
    <w:rsid w:val="6104037C"/>
    <w:rsid w:val="61853D3F"/>
    <w:rsid w:val="61BC65BC"/>
    <w:rsid w:val="61E12E1B"/>
    <w:rsid w:val="637F7835"/>
    <w:rsid w:val="64047E51"/>
    <w:rsid w:val="65391A6E"/>
    <w:rsid w:val="65D57BE0"/>
    <w:rsid w:val="69B755F9"/>
    <w:rsid w:val="6D4E5FC4"/>
    <w:rsid w:val="6D860727"/>
    <w:rsid w:val="71494FDF"/>
    <w:rsid w:val="72862412"/>
    <w:rsid w:val="732E26DE"/>
    <w:rsid w:val="769B58D2"/>
    <w:rsid w:val="77FB787A"/>
    <w:rsid w:val="78185787"/>
    <w:rsid w:val="78EF4800"/>
    <w:rsid w:val="793D367B"/>
    <w:rsid w:val="79773031"/>
    <w:rsid w:val="7B9559F0"/>
    <w:rsid w:val="7B965B1F"/>
    <w:rsid w:val="7C6E599F"/>
    <w:rsid w:val="7CCD05F3"/>
    <w:rsid w:val="7CEB202E"/>
    <w:rsid w:val="7D7C5119"/>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21"/>
    <w:basedOn w:val="9"/>
    <w:qFormat/>
    <w:uiPriority w:val="0"/>
    <w:rPr>
      <w:rFonts w:hint="eastAsia" w:ascii="宋体" w:hAnsi="宋体" w:eastAsia="宋体" w:cs="宋体"/>
      <w:color w:val="000000"/>
      <w:sz w:val="22"/>
      <w:szCs w:val="22"/>
      <w:u w:val="none"/>
      <w:vertAlign w:val="superscript"/>
    </w:rPr>
  </w:style>
  <w:style w:type="character" w:customStyle="1" w:styleId="17">
    <w:name w:val="font41"/>
    <w:basedOn w:val="9"/>
    <w:qFormat/>
    <w:uiPriority w:val="0"/>
    <w:rPr>
      <w:rFonts w:hint="eastAsia" w:ascii="仿宋_GB2312" w:eastAsia="仿宋_GB2312" w:cs="仿宋_GB2312"/>
      <w:color w:val="000000"/>
      <w:sz w:val="20"/>
      <w:szCs w:val="20"/>
      <w:u w:val="none"/>
    </w:rPr>
  </w:style>
  <w:style w:type="character" w:customStyle="1" w:styleId="18">
    <w:name w:val="font3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563</Words>
  <Characters>579</Characters>
  <Lines>0</Lines>
  <Paragraphs>0</Paragraphs>
  <TotalTime>0</TotalTime>
  <ScaleCrop>false</ScaleCrop>
  <LinksUpToDate>false</LinksUpToDate>
  <CharactersWithSpaces>579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2025-10-10T08:22:00Z</cp:lastPrinted>
  <dcterms:modified xsi:type="dcterms:W3CDTF">2025-10-28T09:18:16Z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