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F2F8E">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1B59A284">
      <w:pPr>
        <w:keepNext w:val="0"/>
        <w:keepLines w:val="0"/>
        <w:pageBreakBefore w:val="0"/>
        <w:widowControl w:val="0"/>
        <w:shd w:val="clear" w:color="auto" w:fill="auto"/>
        <w:kinsoku/>
        <w:wordWrap/>
        <w:overflowPunct/>
        <w:topLinePunct w:val="0"/>
        <w:autoSpaceDE/>
        <w:autoSpaceDN/>
        <w:bidi w:val="0"/>
        <w:adjustRightInd/>
        <w:snapToGrid/>
        <w:spacing w:line="574" w:lineRule="exact"/>
        <w:ind w:left="0" w:leftChars="0"/>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0B4414F9">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AF57568">
      <w:pPr>
        <w:widowControl/>
        <w:ind w:left="0" w:leftChars="0"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w:t>
      </w:r>
      <w:r>
        <w:rPr>
          <w:rFonts w:hint="default" w:ascii="仿宋" w:hAnsi="仿宋" w:eastAsia="仿宋" w:cs="仿宋"/>
          <w:b w:val="0"/>
          <w:bCs w:val="0"/>
          <w:sz w:val="32"/>
          <w:szCs w:val="32"/>
          <w:u w:val="none" w:color="auto"/>
          <w:lang w:val="en-US" w:eastAsia="zh-CN"/>
        </w:rPr>
        <w:t>江油市蜀龙湾旅游发展有限公司</w:t>
      </w:r>
      <w:r>
        <w:rPr>
          <w:rFonts w:hint="eastAsia" w:ascii="仿宋" w:hAnsi="仿宋" w:eastAsia="仿宋" w:cs="仿宋"/>
          <w:b w:val="0"/>
          <w:bCs w:val="0"/>
          <w:sz w:val="32"/>
          <w:szCs w:val="32"/>
          <w:u w:val="none" w:color="auto"/>
          <w:lang w:val="en-US" w:eastAsia="zh-CN"/>
        </w:rPr>
        <w:t>提供江油市厚坝镇养马峡村游客中心和回龙寺文化广场两宗地编制规划论证服务</w:t>
      </w:r>
      <w:r>
        <w:rPr>
          <w:rFonts w:hint="eastAsia" w:ascii="仿宋" w:hAnsi="仿宋" w:eastAsia="仿宋" w:cs="仿宋"/>
          <w:b w:val="0"/>
          <w:bCs w:val="0"/>
          <w:sz w:val="32"/>
          <w:szCs w:val="32"/>
          <w:u w:val="none" w:color="auto"/>
          <w:lang w:eastAsia="zh-CN"/>
        </w:rPr>
        <w:t>。</w:t>
      </w:r>
    </w:p>
    <w:p w14:paraId="5A368FF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lang w:val="en-US" w:eastAsia="zh-CN"/>
        </w:rPr>
      </w:pPr>
      <w:r>
        <w:rPr>
          <w:rFonts w:hint="eastAsia" w:ascii="黑体" w:hAnsi="黑体" w:eastAsia="黑体" w:cs="黑体"/>
          <w:b w:val="0"/>
          <w:bCs w:val="0"/>
          <w:sz w:val="32"/>
          <w:szCs w:val="32"/>
          <w:u w:val="none" w:color="auto"/>
          <w:lang w:val="en-US" w:eastAsia="zh-CN"/>
        </w:rPr>
        <w:t>二、</w:t>
      </w: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0F346AA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color w:val="auto"/>
          <w:spacing w:val="0"/>
          <w:w w:val="100"/>
          <w:position w:val="0"/>
          <w:sz w:val="32"/>
          <w:szCs w:val="32"/>
          <w:highlight w:val="none"/>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highlight w:val="none"/>
          <w:u w:val="none" w:color="auto"/>
          <w:shd w:val="clear" w:color="auto" w:fill="auto"/>
          <w:lang w:val="en-US" w:eastAsia="zh-CN" w:bidi="en-US"/>
        </w:rPr>
        <w:t>1.最高限价：人民币500000元。</w:t>
      </w:r>
    </w:p>
    <w:p w14:paraId="577FDF46">
      <w:pPr>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textAlignment w:val="auto"/>
        <w:rPr>
          <w:rFonts w:hint="eastAsia" w:ascii="仿宋" w:hAnsi="仿宋" w:eastAsia="仿宋" w:cs="仿宋"/>
          <w:b w:val="0"/>
          <w:bCs w:val="0"/>
          <w:color w:val="auto"/>
          <w:spacing w:val="0"/>
          <w:w w:val="100"/>
          <w:position w:val="0"/>
          <w:sz w:val="32"/>
          <w:szCs w:val="32"/>
          <w:highlight w:val="none"/>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highlight w:val="none"/>
          <w:u w:val="none" w:color="auto"/>
          <w:shd w:val="clear" w:color="auto" w:fill="auto"/>
          <w:lang w:val="en-US" w:eastAsia="zh-CN" w:bidi="en-US"/>
        </w:rPr>
        <w:t>2.项目概述：拟编制规划论证的用地位于厚坝镇养马峡村，涉及养马峡游客中心和回龙寺文化广场两宗地。</w:t>
      </w:r>
    </w:p>
    <w:p w14:paraId="02AD1944">
      <w:pPr>
        <w:pStyle w:val="2"/>
        <w:ind w:firstLine="640" w:firstLineChars="200"/>
        <w:rPr>
          <w:rFonts w:hint="eastAsia" w:ascii="仿宋" w:hAnsi="仿宋" w:eastAsia="仿宋" w:cs="仿宋"/>
          <w:b w:val="0"/>
          <w:bCs w:val="0"/>
          <w:color w:val="auto"/>
          <w:spacing w:val="0"/>
          <w:w w:val="100"/>
          <w:position w:val="0"/>
          <w:sz w:val="32"/>
          <w:szCs w:val="32"/>
          <w:highlight w:val="none"/>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highlight w:val="none"/>
          <w:u w:val="none" w:color="auto"/>
          <w:shd w:val="clear" w:color="auto" w:fill="auto"/>
          <w:lang w:val="en-US" w:eastAsia="zh-CN" w:bidi="en-US"/>
        </w:rPr>
        <w:t>3.项目要求及用途：根据四川省自然资源厅《关于探索用地新方式保障农村一二三产业融合发展用地的通知》川自然资发[2022]40号文件编制规划落实方案，提出用地性质、容积率、建筑密度、建筑高度、配套设施等规划条件，并将论证成果内容纳入《江油市厚坝镇养马峡村“通则式”村规划》。</w:t>
      </w:r>
    </w:p>
    <w:p w14:paraId="26963BFB">
      <w:pPr>
        <w:pStyle w:val="2"/>
        <w:shd w:val="clear" w:color="auto" w:fill="auto"/>
        <w:ind w:firstLine="640" w:firstLineChars="200"/>
        <w:rPr>
          <w:rFonts w:hint="eastAsia"/>
          <w:lang w:val="en-US" w:eastAsia="zh-CN"/>
        </w:rPr>
      </w:pPr>
      <w:r>
        <w:rPr>
          <w:rFonts w:hint="eastAsia" w:ascii="仿宋" w:hAnsi="仿宋" w:eastAsia="仿宋" w:cs="仿宋"/>
          <w:b w:val="0"/>
          <w:bCs w:val="0"/>
          <w:color w:val="auto"/>
          <w:spacing w:val="0"/>
          <w:w w:val="100"/>
          <w:position w:val="0"/>
          <w:sz w:val="32"/>
          <w:szCs w:val="32"/>
          <w:highlight w:val="none"/>
          <w:u w:val="none" w:color="auto"/>
          <w:shd w:val="clear" w:color="auto" w:fill="auto"/>
          <w:lang w:val="en-US" w:eastAsia="zh-CN" w:bidi="en-US"/>
        </w:rPr>
        <w:t>4.土地基本情况：两宗土地面积为10054.9444平方米。</w:t>
      </w:r>
    </w:p>
    <w:p w14:paraId="17C0D5A6">
      <w:pPr>
        <w:keepNext w:val="0"/>
        <w:keepLines w:val="0"/>
        <w:pageBreakBefore w:val="0"/>
        <w:widowControl w:val="0"/>
        <w:kinsoku/>
        <w:wordWrap/>
        <w:overflowPunct/>
        <w:topLinePunct w:val="0"/>
        <w:autoSpaceDE/>
        <w:autoSpaceDN/>
        <w:bidi w:val="0"/>
        <w:adjustRightInd/>
        <w:snapToGrid/>
        <w:spacing w:line="520" w:lineRule="atLeast"/>
        <w:ind w:left="0" w:lef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三、备注</w:t>
      </w:r>
    </w:p>
    <w:p w14:paraId="61101FD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、报价需包含人员劳务费、差旅费、装订费、税金等费用；</w:t>
      </w:r>
    </w:p>
    <w:p w14:paraId="1AD18C9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0F8BFCA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40ABFF8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p>
    <w:p w14:paraId="0022D085">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0" w:leftChars="0" w:right="0" w:rightChars="0" w:firstLine="640" w:firstLineChars="200"/>
        <w:textAlignment w:val="auto"/>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bookmarkStart w:id="0" w:name="_GoBack"/>
      <w:bookmarkEnd w:id="0"/>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30E0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741F72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1DEA7655">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113C3CDE">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384A3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5451CC3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6877C40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37FFDD31">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江油市蜀龙湾旅游发展有限公司</w:t>
            </w:r>
          </w:p>
        </w:tc>
      </w:tr>
      <w:tr w14:paraId="4DAB3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66A66C31">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13B9AF0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6EE69062">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江油市厚坝镇养马峡景区</w:t>
            </w:r>
          </w:p>
        </w:tc>
      </w:tr>
      <w:tr w14:paraId="150F7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20DFE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3B6C0DC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583326E7">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6541F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62DB2E8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7765CFA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1E275DD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2FAA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765D5AEC">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094C61C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526E005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default" w:ascii="宋体" w:hAnsi="宋体" w:eastAsia="宋体" w:cs="宋体"/>
                <w:sz w:val="28"/>
                <w:szCs w:val="28"/>
                <w:u w:val="none" w:color="auto"/>
                <w:lang w:val="en-US" w:eastAsia="zh-CN"/>
              </w:rPr>
              <w:t>严格按国家现行相关</w:t>
            </w:r>
            <w:r>
              <w:rPr>
                <w:rFonts w:hint="eastAsia" w:ascii="宋体" w:hAnsi="宋体" w:eastAsia="宋体" w:cs="宋体"/>
                <w:sz w:val="28"/>
                <w:szCs w:val="28"/>
                <w:u w:val="none" w:color="auto"/>
                <w:lang w:val="en-US" w:eastAsia="zh-CN"/>
              </w:rPr>
              <w:t>行业</w:t>
            </w:r>
            <w:r>
              <w:rPr>
                <w:rFonts w:hint="default" w:ascii="宋体" w:hAnsi="宋体" w:eastAsia="宋体" w:cs="宋体"/>
                <w:sz w:val="28"/>
                <w:szCs w:val="28"/>
                <w:u w:val="none" w:color="auto"/>
                <w:lang w:val="en-US" w:eastAsia="zh-CN"/>
              </w:rPr>
              <w:t>规范、规定和</w:t>
            </w:r>
          </w:p>
          <w:p w14:paraId="56252DD5">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default" w:ascii="宋体" w:hAnsi="宋体" w:eastAsia="宋体" w:cs="宋体"/>
                <w:sz w:val="28"/>
                <w:szCs w:val="28"/>
                <w:u w:val="none" w:color="auto"/>
                <w:lang w:val="en-US" w:eastAsia="zh-CN"/>
              </w:rPr>
              <w:t>四川省相关规定标准执行</w:t>
            </w:r>
          </w:p>
        </w:tc>
      </w:tr>
      <w:tr w14:paraId="655AB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6CECFF3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5342B8B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6F0A4E9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合同签订后30日内完成及验收</w:t>
            </w:r>
          </w:p>
        </w:tc>
      </w:tr>
    </w:tbl>
    <w:p w14:paraId="249C1301">
      <w:pPr>
        <w:rPr>
          <w:rFonts w:hint="default"/>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E5C4B7-28F8-4AA6-B173-B4FD08CC79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F14A6526-3A7B-4D6E-A181-5FE7BE86B23E}"/>
  </w:font>
  <w:font w:name="仿宋">
    <w:panose1 w:val="02010609060101010101"/>
    <w:charset w:val="86"/>
    <w:family w:val="auto"/>
    <w:pitch w:val="default"/>
    <w:sig w:usb0="800002BF" w:usb1="38CF7CFA" w:usb2="00000016" w:usb3="00000000" w:csb0="00040001" w:csb1="00000000"/>
    <w:embedRegular r:id="rId3" w:fontKey="{44632B7F-AAB3-4D0B-84D2-D145CD671B87}"/>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5"/>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147778C"/>
    <w:rsid w:val="023A109F"/>
    <w:rsid w:val="023C7B97"/>
    <w:rsid w:val="04166A81"/>
    <w:rsid w:val="04B42D89"/>
    <w:rsid w:val="052F3AB7"/>
    <w:rsid w:val="06AA22E5"/>
    <w:rsid w:val="06B83B39"/>
    <w:rsid w:val="07857B54"/>
    <w:rsid w:val="09D771D4"/>
    <w:rsid w:val="0ACB417A"/>
    <w:rsid w:val="0B603E17"/>
    <w:rsid w:val="0C724D1B"/>
    <w:rsid w:val="0CE949D7"/>
    <w:rsid w:val="0ED85EC8"/>
    <w:rsid w:val="11672464"/>
    <w:rsid w:val="12853ED2"/>
    <w:rsid w:val="134768DF"/>
    <w:rsid w:val="14224BF0"/>
    <w:rsid w:val="161B669A"/>
    <w:rsid w:val="163C241A"/>
    <w:rsid w:val="176F311A"/>
    <w:rsid w:val="181B5077"/>
    <w:rsid w:val="192B21B3"/>
    <w:rsid w:val="1987566D"/>
    <w:rsid w:val="19D94CAA"/>
    <w:rsid w:val="19E5114C"/>
    <w:rsid w:val="1ACE61F4"/>
    <w:rsid w:val="20C31381"/>
    <w:rsid w:val="20EF7C63"/>
    <w:rsid w:val="214F1B97"/>
    <w:rsid w:val="241724D8"/>
    <w:rsid w:val="24666283"/>
    <w:rsid w:val="25875AFA"/>
    <w:rsid w:val="263113E7"/>
    <w:rsid w:val="26E72CF4"/>
    <w:rsid w:val="26FB52ED"/>
    <w:rsid w:val="270E1E77"/>
    <w:rsid w:val="278C741F"/>
    <w:rsid w:val="28BC1F5F"/>
    <w:rsid w:val="2B206C1F"/>
    <w:rsid w:val="2BE21A2F"/>
    <w:rsid w:val="2C0B0055"/>
    <w:rsid w:val="300C3A87"/>
    <w:rsid w:val="306E7FE2"/>
    <w:rsid w:val="31587944"/>
    <w:rsid w:val="31FB19F3"/>
    <w:rsid w:val="328B74C5"/>
    <w:rsid w:val="34086058"/>
    <w:rsid w:val="34C45DC1"/>
    <w:rsid w:val="360C0D29"/>
    <w:rsid w:val="361719C1"/>
    <w:rsid w:val="36545584"/>
    <w:rsid w:val="37512F06"/>
    <w:rsid w:val="3AAC3BE1"/>
    <w:rsid w:val="3AF70BD4"/>
    <w:rsid w:val="3B52750D"/>
    <w:rsid w:val="3BDC436A"/>
    <w:rsid w:val="3D320538"/>
    <w:rsid w:val="3E1A1FCA"/>
    <w:rsid w:val="3EE42ED1"/>
    <w:rsid w:val="40B62ABF"/>
    <w:rsid w:val="42AB250B"/>
    <w:rsid w:val="43D80434"/>
    <w:rsid w:val="47044A64"/>
    <w:rsid w:val="498126DD"/>
    <w:rsid w:val="499910CF"/>
    <w:rsid w:val="4B207865"/>
    <w:rsid w:val="4BFA3450"/>
    <w:rsid w:val="4E847B7E"/>
    <w:rsid w:val="4F59011B"/>
    <w:rsid w:val="50CA2BBB"/>
    <w:rsid w:val="520A31DD"/>
    <w:rsid w:val="53714D2C"/>
    <w:rsid w:val="557038BD"/>
    <w:rsid w:val="55F67FAE"/>
    <w:rsid w:val="57752E80"/>
    <w:rsid w:val="57C16B81"/>
    <w:rsid w:val="589C0BBA"/>
    <w:rsid w:val="59E051FD"/>
    <w:rsid w:val="5B597072"/>
    <w:rsid w:val="5CD851F3"/>
    <w:rsid w:val="5D97316D"/>
    <w:rsid w:val="5DEA21A7"/>
    <w:rsid w:val="5F13705F"/>
    <w:rsid w:val="5FA21143"/>
    <w:rsid w:val="5FC15772"/>
    <w:rsid w:val="5FC15FA1"/>
    <w:rsid w:val="606D70BF"/>
    <w:rsid w:val="6104037C"/>
    <w:rsid w:val="61853D3F"/>
    <w:rsid w:val="631E6879"/>
    <w:rsid w:val="6367429A"/>
    <w:rsid w:val="637F7835"/>
    <w:rsid w:val="64047E51"/>
    <w:rsid w:val="64E9765C"/>
    <w:rsid w:val="65391A6E"/>
    <w:rsid w:val="65B0017A"/>
    <w:rsid w:val="65D57BE0"/>
    <w:rsid w:val="68F40C1D"/>
    <w:rsid w:val="69B755F9"/>
    <w:rsid w:val="6D4E5FC4"/>
    <w:rsid w:val="6D860727"/>
    <w:rsid w:val="6F643868"/>
    <w:rsid w:val="6FDB2297"/>
    <w:rsid w:val="70F01D72"/>
    <w:rsid w:val="71494FDF"/>
    <w:rsid w:val="72862412"/>
    <w:rsid w:val="732E26DE"/>
    <w:rsid w:val="73813156"/>
    <w:rsid w:val="73E27014"/>
    <w:rsid w:val="762E1D01"/>
    <w:rsid w:val="769B58D2"/>
    <w:rsid w:val="774A4D85"/>
    <w:rsid w:val="77FB787A"/>
    <w:rsid w:val="78185787"/>
    <w:rsid w:val="793D367B"/>
    <w:rsid w:val="7A232871"/>
    <w:rsid w:val="7B965B1F"/>
    <w:rsid w:val="7C6E599F"/>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华文中宋" w:eastAsia="华文中宋"/>
      <w:bCs/>
      <w:sz w:val="28"/>
    </w:rPr>
  </w:style>
  <w:style w:type="paragraph" w:styleId="3">
    <w:name w:val="Body Text First Indent"/>
    <w:basedOn w:val="1"/>
    <w:qFormat/>
    <w:uiPriority w:val="0"/>
    <w:pPr>
      <w:ind w:firstLine="420" w:firstLineChars="100"/>
    </w:pPr>
    <w:rPr>
      <w:sz w:val="18"/>
      <w:szCs w:val="18"/>
    </w:rPr>
  </w:style>
  <w:style w:type="paragraph" w:styleId="4">
    <w:name w:val="Body Text Indent"/>
    <w:basedOn w:val="1"/>
    <w:qFormat/>
    <w:uiPriority w:val="0"/>
    <w:pPr>
      <w:adjustRightInd w:val="0"/>
      <w:snapToGrid w:val="0"/>
      <w:spacing w:line="360" w:lineRule="auto"/>
      <w:ind w:firstLine="560" w:firstLineChars="200"/>
    </w:pPr>
    <w:rPr>
      <w:sz w:val="28"/>
    </w:rPr>
  </w:style>
  <w:style w:type="paragraph" w:styleId="5">
    <w:name w:val="footer"/>
    <w:basedOn w:val="1"/>
    <w:autoRedefine/>
    <w:qFormat/>
    <w:uiPriority w:val="99"/>
    <w:pPr>
      <w:tabs>
        <w:tab w:val="center" w:pos="4153"/>
        <w:tab w:val="right" w:pos="8306"/>
      </w:tabs>
      <w:snapToGrid w:val="0"/>
      <w:jc w:val="left"/>
    </w:pPr>
    <w:rPr>
      <w:sz w:val="18"/>
      <w:szCs w:val="20"/>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4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368</Words>
  <Characters>378</Characters>
  <Lines>0</Lines>
  <Paragraphs>0</Paragraphs>
  <TotalTime>0</TotalTime>
  <ScaleCrop>false</ScaleCrop>
  <LinksUpToDate>false</LinksUpToDate>
  <CharactersWithSpaces>378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2026-01-30T08:33:24Z</cp:lastPrinted>
  <dcterms:modified xsi:type="dcterms:W3CDTF">2026-01-30T08:33:58Z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