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AD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附件：采购须知</w:t>
      </w:r>
    </w:p>
    <w:p w14:paraId="6576EF9A">
      <w:pPr>
        <w:spacing w:line="574" w:lineRule="exact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项目概况：</w:t>
      </w:r>
    </w:p>
    <w:p w14:paraId="5DEBB76B">
      <w:pPr>
        <w:spacing w:line="480" w:lineRule="exact"/>
        <w:ind w:firstLine="442" w:firstLineChars="200"/>
        <w:jc w:val="both"/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（一）说明：</w:t>
      </w:r>
    </w:p>
    <w:p w14:paraId="2093F5C7">
      <w:pPr>
        <w:spacing w:line="240" w:lineRule="auto"/>
        <w:ind w:firstLine="440" w:firstLineChars="200"/>
        <w:jc w:val="both"/>
        <w:rPr>
          <w:rFonts w:ascii="仿宋" w:hAnsi="仿宋" w:eastAsia="仿宋" w:cs="仿宋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1.服务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名称：四川省“川超”联赛绵阳主场第四场赛事演艺活动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执行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 xml:space="preserve">服务 </w:t>
      </w:r>
    </w:p>
    <w:p w14:paraId="4F103AAF">
      <w:pPr>
        <w:spacing w:line="240" w:lineRule="auto"/>
        <w:ind w:firstLine="440" w:firstLineChars="200"/>
        <w:jc w:val="both"/>
        <w:rPr>
          <w:rFonts w:hint="default" w:ascii="仿宋" w:hAnsi="仿宋" w:eastAsia="仿宋" w:cs="仿宋"/>
          <w:bCs/>
          <w:sz w:val="22"/>
          <w:szCs w:val="22"/>
          <w:highlight w:val="none"/>
          <w:lang w:val="en-US" w:eastAsia="zh-CN" w:bidi="en-US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2"/>
          <w:szCs w:val="22"/>
          <w:lang w:val="en-US" w:eastAsia="zh-CN" w:bidi="en-US"/>
        </w:rPr>
        <w:t>.服务实施地</w:t>
      </w:r>
      <w:r>
        <w:rPr>
          <w:rFonts w:hint="eastAsia" w:ascii="仿宋" w:hAnsi="仿宋" w:eastAsia="仿宋" w:cs="仿宋"/>
          <w:bCs/>
          <w:sz w:val="22"/>
          <w:szCs w:val="22"/>
          <w:highlight w:val="none"/>
          <w:lang w:val="en-US" w:eastAsia="zh-CN" w:bidi="en-US"/>
        </w:rPr>
        <w:t>点：四川省绵阳市三台体育馆</w:t>
      </w:r>
    </w:p>
    <w:p w14:paraId="48F1BA5C">
      <w:pPr>
        <w:spacing w:line="240" w:lineRule="auto"/>
        <w:ind w:firstLine="440" w:firstLineChars="200"/>
        <w:rPr>
          <w:rFonts w:hint="eastAsia" w:ascii="仿宋" w:hAnsi="仿宋" w:eastAsia="仿宋" w:cs="仿宋"/>
          <w:bCs/>
          <w:sz w:val="22"/>
          <w:szCs w:val="22"/>
          <w:highlight w:val="none"/>
          <w:lang w:val="en-US" w:eastAsia="zh-CN" w:bidi="en-US"/>
        </w:rPr>
      </w:pPr>
      <w:r>
        <w:rPr>
          <w:rFonts w:hint="eastAsia" w:ascii="仿宋" w:hAnsi="仿宋" w:eastAsia="仿宋" w:cs="仿宋"/>
          <w:bCs/>
          <w:sz w:val="22"/>
          <w:szCs w:val="22"/>
          <w:highlight w:val="none"/>
          <w:lang w:val="en-US" w:eastAsia="zh-CN" w:bidi="en-US"/>
        </w:rPr>
        <w:t xml:space="preserve">3.活动预算：163万元  </w:t>
      </w:r>
    </w:p>
    <w:p w14:paraId="73585589">
      <w:pPr>
        <w:pStyle w:val="2"/>
        <w:spacing w:line="240" w:lineRule="auto"/>
        <w:ind w:firstLine="440" w:firstLineChars="200"/>
        <w:rPr>
          <w:rFonts w:hint="eastAsia" w:ascii="仿宋" w:hAnsi="仿宋" w:eastAsia="仿宋" w:cs="仿宋"/>
          <w:bCs/>
          <w:sz w:val="22"/>
          <w:szCs w:val="22"/>
          <w:highlight w:val="none"/>
          <w:lang w:val="en-US" w:eastAsia="zh-CN" w:bidi="en-US"/>
        </w:rPr>
      </w:pPr>
      <w:r>
        <w:rPr>
          <w:rFonts w:hint="eastAsia" w:ascii="仿宋" w:hAnsi="仿宋" w:eastAsia="仿宋" w:cs="仿宋"/>
          <w:bCs/>
          <w:sz w:val="22"/>
          <w:szCs w:val="22"/>
          <w:highlight w:val="none"/>
          <w:lang w:val="en-US" w:eastAsia="zh-CN" w:bidi="en-US"/>
        </w:rPr>
        <w:t>4.主办单位：江油冠旋体育文化发展有限公司</w:t>
      </w:r>
    </w:p>
    <w:p w14:paraId="7DD8E3B0">
      <w:pPr>
        <w:spacing w:line="480" w:lineRule="exact"/>
        <w:ind w:firstLine="442" w:firstLineChars="200"/>
        <w:jc w:val="both"/>
        <w:rPr>
          <w:rFonts w:hint="eastAsia" w:ascii="仿宋" w:hAnsi="仿宋" w:eastAsia="仿宋" w:cs="仿宋"/>
          <w:b/>
          <w:bCs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highlight w:val="none"/>
          <w:lang w:val="en-US" w:eastAsia="zh-CN"/>
        </w:rPr>
        <w:t>（二）活动简介：</w:t>
      </w:r>
    </w:p>
    <w:p w14:paraId="15C778D6">
      <w:pPr>
        <w:spacing w:line="48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“足球为媒·浪漫之旅”——以江油李白故里的文旅IP为底色，以九绵黄金道即九绵高速开通为新契机，融合足球运动的激情活力，宣传推介九绵高速沿线的浪漫之旅、文化之旅、自然之旅的文旅主题。</w:t>
      </w:r>
    </w:p>
    <w:p w14:paraId="79CCDDD8">
      <w:pPr>
        <w:spacing w:line="480" w:lineRule="exact"/>
        <w:ind w:firstLine="442" w:firstLineChars="200"/>
        <w:jc w:val="both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（三）活动实施方案摘要：</w:t>
      </w:r>
    </w:p>
    <w:p w14:paraId="6C20FCFB">
      <w:pPr>
        <w:spacing w:line="480" w:lineRule="exact"/>
        <w:ind w:firstLine="4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2"/>
          <w:szCs w:val="22"/>
          <w:lang w:val="en-US" w:eastAsia="zh-CN"/>
        </w:rPr>
        <w:t>通过“赛前暖场一赛前展演一赛中互动一赛后谢幕”四大环节，嵌入“绵阳科技城”“净土阿坝”“李白文化”，结合专业舞蹈表演与球迷互动，充分诠释足球运动的激情，充分展示九绵高速沿线江油九寨的旅游资源。</w:t>
      </w:r>
    </w:p>
    <w:p w14:paraId="3B7B5C1C">
      <w:pPr>
        <w:spacing w:line="480" w:lineRule="exact"/>
        <w:ind w:firstLine="442" w:firstLineChars="200"/>
        <w:jc w:val="both"/>
        <w:rPr>
          <w:rFonts w:hint="default" w:ascii="仿宋" w:hAnsi="仿宋" w:eastAsia="仿宋" w:cs="仿宋"/>
          <w:color w:val="FF000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2"/>
          <w:szCs w:val="22"/>
          <w:lang w:val="en-US" w:eastAsia="zh-CN"/>
        </w:rPr>
        <w:t>注：完整活动方案详见招标文</w:t>
      </w:r>
      <w:r>
        <w:rPr>
          <w:rFonts w:hint="eastAsia" w:ascii="仿宋" w:hAnsi="仿宋" w:eastAsia="仿宋" w:cs="仿宋"/>
          <w:b/>
          <w:bCs/>
          <w:color w:val="FF0000"/>
          <w:sz w:val="22"/>
          <w:szCs w:val="22"/>
          <w:highlight w:val="none"/>
          <w:lang w:val="en-US" w:eastAsia="zh-CN"/>
        </w:rPr>
        <w:t>件第一章第四条-《</w:t>
      </w:r>
      <w:r>
        <w:rPr>
          <w:rFonts w:hint="eastAsia" w:ascii="仿宋" w:hAnsi="仿宋" w:eastAsia="仿宋" w:cs="仿宋"/>
          <w:b/>
          <w:bCs/>
          <w:color w:val="FF0000"/>
          <w:sz w:val="22"/>
          <w:szCs w:val="22"/>
          <w:lang w:val="en-US" w:eastAsia="zh-CN"/>
        </w:rPr>
        <w:t>四川省“川超”联赛绵阳主场第四场赛事演艺活动执行方案》。</w:t>
      </w:r>
    </w:p>
    <w:p w14:paraId="51FAFF2D">
      <w:pPr>
        <w:numPr>
          <w:ilvl w:val="0"/>
          <w:numId w:val="1"/>
        </w:numPr>
        <w:spacing w:line="480" w:lineRule="exact"/>
        <w:ind w:firstLine="442" w:firstLineChars="200"/>
        <w:jc w:val="both"/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采购内容一览表：</w:t>
      </w:r>
    </w:p>
    <w:tbl>
      <w:tblPr>
        <w:tblStyle w:val="5"/>
        <w:tblW w:w="94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2196"/>
        <w:gridCol w:w="656"/>
        <w:gridCol w:w="643"/>
        <w:gridCol w:w="766"/>
        <w:gridCol w:w="986"/>
        <w:gridCol w:w="3582"/>
      </w:tblGrid>
      <w:tr w14:paraId="32BDC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9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5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4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14BE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B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排演补助费用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按学生排练时间9天计算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（含现场合成）</w:t>
            </w:r>
          </w:p>
        </w:tc>
      </w:tr>
      <w:tr w14:paraId="217DD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D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演出补助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2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6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7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877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导演团队费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导演组工作时长按10天计算</w:t>
            </w:r>
          </w:p>
        </w:tc>
      </w:tr>
      <w:tr w14:paraId="2805C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7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音乐制作费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8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D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53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30A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4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5F6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歌手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2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6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1C6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7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音响设备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6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5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4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BD6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7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EC1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3A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3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21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8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4DF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4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哪吒/熊猫艺术装置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4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812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B2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540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4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艺术装置吊装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8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2台吊车吊装置</w:t>
            </w:r>
          </w:p>
        </w:tc>
      </w:tr>
      <w:tr w14:paraId="7AE91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8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杂技表演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8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B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A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8DB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D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68F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化妆造型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4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其他演员</w:t>
            </w:r>
          </w:p>
        </w:tc>
      </w:tr>
      <w:tr w14:paraId="05275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2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9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8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3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主要演员</w:t>
            </w:r>
          </w:p>
        </w:tc>
      </w:tr>
      <w:tr w14:paraId="5F835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5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6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B7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9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</w:t>
            </w:r>
          </w:p>
        </w:tc>
      </w:tr>
      <w:tr w14:paraId="37BB5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1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E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A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0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D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D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</w:t>
            </w:r>
          </w:p>
        </w:tc>
      </w:tr>
      <w:tr w14:paraId="0237A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8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前三场亮点节目展示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A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8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DD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凤凰等</w:t>
            </w:r>
          </w:p>
        </w:tc>
      </w:tr>
      <w:tr w14:paraId="7E8E5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合成演出工作餐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195000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E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按11月21进现场合成计算，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50元/天/人，含工作人员</w:t>
            </w:r>
          </w:p>
        </w:tc>
      </w:tr>
      <w:tr w14:paraId="0FA30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演员住宿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按1天主要演员200人100间计算</w:t>
            </w:r>
          </w:p>
        </w:tc>
      </w:tr>
      <w:tr w14:paraId="0C318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A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A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0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0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9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162000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2000元/辆*25辆（48座）*3天*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（演职人员1300人计算）</w:t>
            </w:r>
          </w:p>
        </w:tc>
      </w:tr>
      <w:tr w14:paraId="46EA5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8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C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4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商务车按10趟计算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（排练期间导演组用车11·1-11·23）</w:t>
            </w:r>
          </w:p>
        </w:tc>
      </w:tr>
      <w:tr w14:paraId="2BFD0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排练期间后勤费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6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0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1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D0A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在校排练期间用餐用水交通费用/</w:t>
            </w:r>
          </w:p>
          <w:p w14:paraId="55AAD795"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应急医疗/现场合成演员用水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/宵夜等其他暂不可预计费用</w:t>
            </w:r>
          </w:p>
        </w:tc>
      </w:tr>
      <w:tr w14:paraId="28860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B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4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意外保险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A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2BC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7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含税总金额</w:t>
            </w:r>
          </w:p>
        </w:tc>
      </w:tr>
    </w:tbl>
    <w:p w14:paraId="125CA495">
      <w:pPr>
        <w:spacing w:line="480" w:lineRule="exact"/>
        <w:ind w:firstLine="442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2"/>
          <w:szCs w:val="22"/>
          <w:lang w:val="en-US" w:eastAsia="zh-CN"/>
        </w:rPr>
        <w:t>注：完整费用明细详见招标文件第一章采购需求</w:t>
      </w:r>
      <w:r>
        <w:rPr>
          <w:rFonts w:hint="eastAsia" w:ascii="仿宋" w:hAnsi="仿宋" w:eastAsia="仿宋" w:cs="仿宋"/>
          <w:b/>
          <w:bCs/>
          <w:color w:val="FF0000"/>
          <w:sz w:val="22"/>
          <w:szCs w:val="22"/>
          <w:highlight w:val="none"/>
          <w:lang w:val="en-US" w:eastAsia="zh-CN"/>
        </w:rPr>
        <w:t>第一条项目概况第四点</w:t>
      </w:r>
    </w:p>
    <w:p w14:paraId="2CECF1A8">
      <w:pPr>
        <w:spacing w:line="574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二、商务要求</w:t>
      </w:r>
    </w:p>
    <w:tbl>
      <w:tblPr>
        <w:tblStyle w:val="9"/>
        <w:tblW w:w="1003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635"/>
        <w:gridCol w:w="7719"/>
      </w:tblGrid>
      <w:tr w14:paraId="0212C0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682" w:type="dxa"/>
            <w:vAlign w:val="center"/>
          </w:tcPr>
          <w:p w14:paraId="2316349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2"/>
                <w:szCs w:val="22"/>
              </w:rPr>
              <w:t>序号</w:t>
            </w:r>
          </w:p>
        </w:tc>
        <w:tc>
          <w:tcPr>
            <w:tcW w:w="1635" w:type="dxa"/>
            <w:vAlign w:val="center"/>
          </w:tcPr>
          <w:p w14:paraId="2AF9A7C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2"/>
                <w:szCs w:val="22"/>
              </w:rPr>
              <w:t>内容</w:t>
            </w:r>
          </w:p>
        </w:tc>
        <w:tc>
          <w:tcPr>
            <w:tcW w:w="7719" w:type="dxa"/>
            <w:vAlign w:val="center"/>
          </w:tcPr>
          <w:p w14:paraId="2045A94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2"/>
                <w:szCs w:val="22"/>
              </w:rPr>
              <w:t>招标/采购要求</w:t>
            </w:r>
          </w:p>
        </w:tc>
      </w:tr>
      <w:tr w14:paraId="6F249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682" w:type="dxa"/>
            <w:vAlign w:val="center"/>
          </w:tcPr>
          <w:p w14:paraId="23C506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</w:pPr>
          </w:p>
          <w:p w14:paraId="0CEE2F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635" w:type="dxa"/>
            <w:vAlign w:val="center"/>
          </w:tcPr>
          <w:p w14:paraId="3342BD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付款方式</w:t>
            </w:r>
          </w:p>
        </w:tc>
        <w:tc>
          <w:tcPr>
            <w:tcW w:w="7719" w:type="dxa"/>
          </w:tcPr>
          <w:p w14:paraId="4C8445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highlight w:val="none"/>
                <w:lang w:val="zh-CN" w:eastAsia="zh-CN"/>
              </w:rPr>
              <w:t>第1期为（预付款）：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zh-CN" w:eastAsia="zh-CN"/>
              </w:rPr>
              <w:t>支付比例30%，合同签订后，在收到增值税专用发票后的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zh-CN" w:eastAsia="zh-CN"/>
              </w:rPr>
              <w:t>个工作日内，采购人向中标人支付合同总价的30%。</w:t>
            </w:r>
          </w:p>
          <w:p w14:paraId="6F0FA8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highlight w:val="none"/>
                <w:lang w:val="zh-CN" w:eastAsia="zh-CN"/>
              </w:rPr>
              <w:t>第2期为（进度款）：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zh-CN" w:eastAsia="zh-CN"/>
              </w:rPr>
              <w:t>支付比例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60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zh-CN" w:eastAsia="zh-CN"/>
              </w:rPr>
              <w:t>%，</w:t>
            </w:r>
            <w:r>
              <w:rPr>
                <w:rFonts w:hint="eastAsia" w:ascii="仿宋" w:hAnsi="仿宋" w:eastAsia="仿宋" w:cs="仿宋"/>
                <w:color w:val="000000"/>
                <w:lang w:eastAsia="zh-CN" w:bidi="ar"/>
              </w:rPr>
              <w:t>演出前（即11月22日）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zh-CN" w:eastAsia="zh-CN"/>
              </w:rPr>
              <w:t>在收到增值税专用发票后，采购人向中标人支付各分项合同价款的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zh-CN" w:eastAsia="zh-CN"/>
              </w:rPr>
              <w:t>0%。</w:t>
            </w:r>
          </w:p>
          <w:p w14:paraId="4AE4A5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highlight w:val="none"/>
                <w:lang w:val="zh-CN" w:eastAsia="zh-CN"/>
              </w:rPr>
              <w:t>第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highlight w:val="none"/>
                <w:lang w:val="zh-CN" w:eastAsia="zh-CN"/>
              </w:rPr>
              <w:t>期为（尾款）：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zh-CN" w:eastAsia="zh-CN"/>
              </w:rPr>
              <w:t>支付比例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zh-CN" w:eastAsia="zh-CN"/>
              </w:rPr>
              <w:t>%，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比赛结束后（即11月23日）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zh-CN" w:eastAsia="zh-CN"/>
              </w:rPr>
              <w:t>中标人向采购人交付合同约定的全部服务，经过采购人验收合格后，在收到增值税专用发票后的10个工作日内，采购人向中标人支付合同总价的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zh-CN" w:eastAsia="zh-CN"/>
              </w:rPr>
              <w:t>%。</w:t>
            </w:r>
          </w:p>
        </w:tc>
      </w:tr>
      <w:tr w14:paraId="4C859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682" w:type="dxa"/>
            <w:vAlign w:val="center"/>
          </w:tcPr>
          <w:p w14:paraId="09E366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635" w:type="dxa"/>
            <w:vAlign w:val="center"/>
          </w:tcPr>
          <w:p w14:paraId="233429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验收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要求</w:t>
            </w:r>
          </w:p>
        </w:tc>
        <w:tc>
          <w:tcPr>
            <w:tcW w:w="7719" w:type="dxa"/>
            <w:vAlign w:val="center"/>
          </w:tcPr>
          <w:p w14:paraId="55C699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采购项目履约验收工作由采购人负责。</w:t>
            </w:r>
          </w:p>
          <w:p w14:paraId="373288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采购人可以根据采购项目具体情况自行组织验收。</w:t>
            </w:r>
          </w:p>
        </w:tc>
      </w:tr>
      <w:tr w14:paraId="0F3EF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682" w:type="dxa"/>
            <w:vAlign w:val="center"/>
          </w:tcPr>
          <w:p w14:paraId="439A70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635" w:type="dxa"/>
            <w:vAlign w:val="center"/>
          </w:tcPr>
          <w:p w14:paraId="07C595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其它</w:t>
            </w:r>
          </w:p>
        </w:tc>
        <w:tc>
          <w:tcPr>
            <w:tcW w:w="7719" w:type="dxa"/>
            <w:vAlign w:val="center"/>
          </w:tcPr>
          <w:p w14:paraId="1E86B1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服务合同履行过程中，采购人需要追加与合同标的相同的货物或者服务的，在不改变合同其他条款的前提下，可以与成交供应商协商签订补充合同，但所有补充合同的采购金额不得超过原合同采购金额的百分之十，且采购服务的名称、价格、履约方式、验收标准等必须与原采购合同一致。</w:t>
            </w:r>
          </w:p>
          <w:p w14:paraId="0951FC41">
            <w:pPr>
              <w:pStyle w:val="2"/>
              <w:numPr>
                <w:ilvl w:val="0"/>
                <w:numId w:val="0"/>
              </w:numPr>
              <w:rPr>
                <w:rFonts w:hint="default" w:ascii="仿宋" w:hAnsi="仿宋" w:eastAsia="仿宋" w:cs="仿宋"/>
                <w:bCs w:val="0"/>
                <w:sz w:val="22"/>
                <w:szCs w:val="22"/>
                <w:highlight w:val="no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bCs w:val="0"/>
                <w:sz w:val="22"/>
                <w:szCs w:val="22"/>
                <w:highlight w:val="none"/>
                <w:lang w:val="en-US" w:eastAsia="zh-CN" w:bidi="en-US"/>
              </w:rPr>
              <w:t>2.报价需包含人工费、材料费、装卸费、差旅费、交通费、运输费（包含二次搬运）、税金等费用</w:t>
            </w:r>
          </w:p>
          <w:p w14:paraId="7BCE21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2"/>
                <w:szCs w:val="22"/>
                <w:highlight w:val="none"/>
                <w:lang w:val="en-US" w:eastAsia="zh-CN"/>
              </w:rPr>
              <w:t>3.如果本活动争取的上级财政奖补资金大于或等于20万时，则采购人向成交供应商支付10万元。</w:t>
            </w:r>
          </w:p>
        </w:tc>
      </w:tr>
    </w:tbl>
    <w:p w14:paraId="774F85AC">
      <w:pPr>
        <w:numPr>
          <w:ilvl w:val="0"/>
          <w:numId w:val="0"/>
        </w:numPr>
        <w:spacing w:line="48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 w:bidi="en-US"/>
        </w:rPr>
      </w:pPr>
    </w:p>
    <w:p w14:paraId="0BDB4846">
      <w:pPr>
        <w:numPr>
          <w:ilvl w:val="0"/>
          <w:numId w:val="0"/>
        </w:numPr>
        <w:spacing w:line="48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en-US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技术要求</w:t>
      </w:r>
    </w:p>
    <w:p w14:paraId="7AA9E159">
      <w:pPr>
        <w:pStyle w:val="2"/>
        <w:rPr>
          <w:rFonts w:hint="eastAsia"/>
          <w:lang w:val="en-US" w:eastAsia="zh-CN"/>
        </w:rPr>
      </w:pPr>
    </w:p>
    <w:tbl>
      <w:tblPr>
        <w:tblStyle w:val="9"/>
        <w:tblW w:w="1003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4458"/>
        <w:gridCol w:w="4896"/>
      </w:tblGrid>
      <w:tr w14:paraId="02DB5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682" w:type="dxa"/>
            <w:vAlign w:val="center"/>
          </w:tcPr>
          <w:p w14:paraId="11BC668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2"/>
                <w:szCs w:val="22"/>
              </w:rPr>
              <w:t>序号</w:t>
            </w:r>
          </w:p>
        </w:tc>
        <w:tc>
          <w:tcPr>
            <w:tcW w:w="4458" w:type="dxa"/>
            <w:vAlign w:val="center"/>
          </w:tcPr>
          <w:p w14:paraId="0CF3059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2"/>
                <w:szCs w:val="22"/>
              </w:rPr>
              <w:t>内容</w:t>
            </w:r>
          </w:p>
        </w:tc>
        <w:tc>
          <w:tcPr>
            <w:tcW w:w="4896" w:type="dxa"/>
            <w:vAlign w:val="center"/>
          </w:tcPr>
          <w:p w14:paraId="5F322C2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2"/>
                <w:szCs w:val="22"/>
              </w:rPr>
              <w:t>招标/采购要求</w:t>
            </w:r>
          </w:p>
        </w:tc>
      </w:tr>
      <w:tr w14:paraId="73717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682" w:type="dxa"/>
            <w:vAlign w:val="center"/>
          </w:tcPr>
          <w:p w14:paraId="3A14D0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4458" w:type="dxa"/>
            <w:vAlign w:val="center"/>
          </w:tcPr>
          <w:p w14:paraId="39D35C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四川省“川超”联赛绵阳主场第四场赛事演艺活动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执行方案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4896" w:type="dxa"/>
          </w:tcPr>
          <w:p w14:paraId="7B0B63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该项为本比选活动实质性要求，投标人必须完全响应，否则视为无效投标。</w:t>
            </w:r>
          </w:p>
        </w:tc>
      </w:tr>
      <w:tr w14:paraId="5C003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5A393C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4458" w:type="dxa"/>
            <w:shd w:val="clear" w:color="auto" w:fill="auto"/>
            <w:vAlign w:val="center"/>
          </w:tcPr>
          <w:p w14:paraId="1B4B11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zh-CN" w:eastAsia="zh-CN"/>
              </w:rPr>
              <w:t>服务对象</w:t>
            </w:r>
          </w:p>
        </w:tc>
        <w:tc>
          <w:tcPr>
            <w:tcW w:w="4896" w:type="dxa"/>
            <w:shd w:val="clear" w:color="auto" w:fill="auto"/>
            <w:vAlign w:val="center"/>
          </w:tcPr>
          <w:p w14:paraId="3ED3EA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sz w:val="22"/>
                <w:szCs w:val="22"/>
                <w:highlight w:val="none"/>
                <w:lang w:val="en-US" w:eastAsia="zh-CN" w:bidi="en-US"/>
              </w:rPr>
              <w:t>江油冠旋体育文化发展有限公司</w:t>
            </w:r>
          </w:p>
        </w:tc>
      </w:tr>
      <w:tr w14:paraId="1CCAE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7DC25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8EB0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zh-CN" w:eastAsia="zh-CN"/>
              </w:rPr>
              <w:t>服务地点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2B02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 w:bidi="en-US"/>
              </w:rPr>
              <w:t>四川省绵阳市三台体育馆</w:t>
            </w:r>
          </w:p>
        </w:tc>
      </w:tr>
      <w:tr w14:paraId="189AC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83EF5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AD80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zh-CN" w:eastAsia="zh-CN"/>
              </w:rPr>
              <w:t>履约､验收要求与标准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0ED9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zh-CN" w:eastAsia="zh-CN"/>
              </w:rPr>
              <w:t>按合同要求验收</w:t>
            </w:r>
          </w:p>
        </w:tc>
      </w:tr>
      <w:tr w14:paraId="27D9C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C27C7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8A96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zh-CN" w:eastAsia="zh-CN"/>
              </w:rPr>
              <w:t>时间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7BBF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 w:bidi="ar"/>
              </w:rPr>
              <w:t>2025年11月13日</w:t>
            </w:r>
            <w:r>
              <w:rPr>
                <w:rFonts w:hint="eastAsia" w:ascii="仿宋" w:hAnsi="仿宋" w:eastAsia="仿宋" w:cs="仿宋"/>
                <w:color w:val="000000"/>
                <w:lang w:eastAsia="zh-CN" w:bidi="ar"/>
              </w:rPr>
              <w:t>至</w:t>
            </w:r>
            <w:r>
              <w:rPr>
                <w:rFonts w:ascii="仿宋" w:hAnsi="仿宋" w:eastAsia="仿宋" w:cs="仿宋"/>
                <w:color w:val="000000"/>
                <w:lang w:eastAsia="zh-CN" w:bidi="ar"/>
              </w:rPr>
              <w:t>2025</w:t>
            </w:r>
            <w:r>
              <w:rPr>
                <w:rFonts w:hint="eastAsia" w:ascii="仿宋" w:hAnsi="仿宋" w:eastAsia="仿宋" w:cs="仿宋"/>
                <w:color w:val="000000"/>
                <w:lang w:eastAsia="zh-CN" w:bidi="ar"/>
              </w:rPr>
              <w:t>年11月2</w:t>
            </w:r>
            <w:r>
              <w:rPr>
                <w:rFonts w:ascii="仿宋" w:hAnsi="仿宋" w:eastAsia="仿宋" w:cs="仿宋"/>
                <w:color w:val="000000"/>
                <w:lang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lang w:eastAsia="zh-CN" w:bidi="ar"/>
              </w:rPr>
              <w:t>日</w:t>
            </w:r>
          </w:p>
        </w:tc>
      </w:tr>
    </w:tbl>
    <w:p w14:paraId="5298D1C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73CAC3"/>
    <w:multiLevelType w:val="singleLevel"/>
    <w:tmpl w:val="6073CA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6F7AB93"/>
    <w:multiLevelType w:val="singleLevel"/>
    <w:tmpl w:val="66F7AB93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8421A"/>
    <w:rsid w:val="0349110B"/>
    <w:rsid w:val="07057EAD"/>
    <w:rsid w:val="075B74B8"/>
    <w:rsid w:val="0A542FBA"/>
    <w:rsid w:val="0CFC7200"/>
    <w:rsid w:val="10977B9E"/>
    <w:rsid w:val="12EF32FF"/>
    <w:rsid w:val="13B8421A"/>
    <w:rsid w:val="14DB3E86"/>
    <w:rsid w:val="19066C08"/>
    <w:rsid w:val="1DE658A0"/>
    <w:rsid w:val="1F13300A"/>
    <w:rsid w:val="2E084BBC"/>
    <w:rsid w:val="39A64349"/>
    <w:rsid w:val="3A012564"/>
    <w:rsid w:val="3B5A7112"/>
    <w:rsid w:val="3E9A00C2"/>
    <w:rsid w:val="4583392B"/>
    <w:rsid w:val="47745CA9"/>
    <w:rsid w:val="4BA6070E"/>
    <w:rsid w:val="50281B04"/>
    <w:rsid w:val="516C5C32"/>
    <w:rsid w:val="535174A4"/>
    <w:rsid w:val="58443253"/>
    <w:rsid w:val="59837DAB"/>
    <w:rsid w:val="603738D0"/>
    <w:rsid w:val="64287ECD"/>
    <w:rsid w:val="655C6080"/>
    <w:rsid w:val="67E0517D"/>
    <w:rsid w:val="68371149"/>
    <w:rsid w:val="684D7F02"/>
    <w:rsid w:val="694D5CE0"/>
    <w:rsid w:val="6BD83878"/>
    <w:rsid w:val="73F81A0F"/>
    <w:rsid w:val="7516167C"/>
    <w:rsid w:val="756A7238"/>
    <w:rsid w:val="7DCE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Arial Unicode MS"/>
      <w:sz w:val="24"/>
      <w:szCs w:val="24"/>
      <w:lang w:val="en-US" w:eastAsia="en-US" w:bidi="en-US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华文中宋" w:eastAsia="华文中宋"/>
      <w:bCs/>
      <w:sz w:val="28"/>
    </w:r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qFormat/>
    <w:uiPriority w:val="0"/>
    <w:pPr>
      <w:adjustRightInd w:val="0"/>
      <w:snapToGrid w:val="0"/>
      <w:spacing w:after="120" w:line="300" w:lineRule="auto"/>
      <w:ind w:left="420" w:leftChars="200" w:firstLine="420" w:firstLineChars="200"/>
    </w:pPr>
    <w:rPr>
      <w:rFonts w:ascii="仿宋_GB2312" w:eastAsia="仿宋_GB231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_Style 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9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1397</Words>
  <Characters>1613</Characters>
  <Lines>0</Lines>
  <Paragraphs>0</Paragraphs>
  <TotalTime>1</TotalTime>
  <ScaleCrop>false</ScaleCrop>
  <LinksUpToDate>false</LinksUpToDate>
  <CharactersWithSpaces>1617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2024-11-27T06:28:00Z</dcterms:created>
  <dc:creator>一路向前</dc:creator>
  <cp:lastModifiedBy>一路向前</cp:lastModifiedBy>
  <cp:lastPrinted>2025-11-17T08:43:36Z</cp:lastPrinted>
  <dcterms:modified xsi:type="dcterms:W3CDTF">2025-11-17T08:52:38Z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AC2698D0ACBB4955988A2D873B33BED1_11</vt:lpwstr>
  </property>
  <property fmtid="{D5CDD505-2E9C-101B-9397-08002B2CF9AE}" pid="4" name="KSOTemplateDocerSaveRecord">
    <vt:lpwstr>eyJoZGlkIjoiMWQ4M2Y5YjAyZjQ3YzYyMjcwNzQ3ZWNlNTYzNWVkNGEiLCJ1c2VySWQiOiI1MjQxODk4MTQifQ==</vt:lpwstr>
  </property>
</Properties>
</file>