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为四川江油画屏尚景景区管理有限责任公司提供窦圌山景区内好运广场小吃店、小卖部、前寨门、飞仙酒家、山庄餐厅、山庄厨房、员工餐厅等点位屋面小青瓦翻新服务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B25CB80">
      <w:pPr>
        <w:pStyle w:val="3"/>
        <w:keepNext w:val="0"/>
        <w:keepLines w:val="0"/>
        <w:pageBreakBefore w:val="0"/>
        <w:numPr>
          <w:ilvl w:val="0"/>
          <w:numId w:val="0"/>
        </w:numPr>
        <w:kinsoku/>
        <w:wordWrap/>
        <w:overflowPunct/>
        <w:topLinePunct w:val="0"/>
        <w:autoSpaceDE/>
        <w:autoSpaceDN/>
        <w:bidi w:val="0"/>
        <w:adjustRightInd/>
        <w:snapToGrid/>
        <w:spacing w:line="576" w:lineRule="exact"/>
        <w:ind w:right="0" w:rightChars="0" w:firstLine="640" w:firstLineChars="200"/>
        <w:rPr>
          <w:rFonts w:hint="eastAsia" w:ascii="仿宋" w:hAnsi="仿宋" w:eastAsia="仿宋" w:cs="仿宋"/>
          <w:bCs w:val="0"/>
          <w:sz w:val="32"/>
          <w:szCs w:val="32"/>
          <w:lang w:eastAsia="zh-CN"/>
        </w:rPr>
      </w:pPr>
      <w:r>
        <w:rPr>
          <w:rFonts w:hint="eastAsia" w:ascii="仿宋" w:hAnsi="仿宋" w:eastAsia="仿宋" w:cs="仿宋"/>
          <w:bCs w:val="0"/>
          <w:sz w:val="32"/>
          <w:szCs w:val="32"/>
          <w:lang w:val="en-US" w:eastAsia="zh-CN"/>
        </w:rPr>
        <w:t>1.</w:t>
      </w:r>
      <w:r>
        <w:rPr>
          <w:rFonts w:hint="eastAsia" w:ascii="仿宋" w:hAnsi="仿宋" w:eastAsia="仿宋" w:cs="仿宋"/>
          <w:bCs w:val="0"/>
          <w:sz w:val="32"/>
          <w:szCs w:val="32"/>
          <w:lang w:eastAsia="zh-CN"/>
        </w:rPr>
        <w:t>此次窦圌山景区各点位小青瓦翻新项目最高限价为人民币</w:t>
      </w:r>
      <w:r>
        <w:rPr>
          <w:rFonts w:hint="eastAsia" w:ascii="仿宋" w:hAnsi="仿宋" w:eastAsia="仿宋" w:cs="仿宋"/>
          <w:bCs w:val="0"/>
          <w:sz w:val="32"/>
          <w:szCs w:val="32"/>
          <w:lang w:val="en-US" w:eastAsia="zh-CN"/>
        </w:rPr>
        <w:t>134000</w:t>
      </w:r>
      <w:r>
        <w:rPr>
          <w:rFonts w:hint="eastAsia" w:ascii="仿宋" w:hAnsi="仿宋" w:eastAsia="仿宋" w:cs="仿宋"/>
          <w:bCs w:val="0"/>
          <w:sz w:val="32"/>
          <w:szCs w:val="32"/>
          <w:lang w:eastAsia="zh-CN"/>
        </w:rPr>
        <w:t>元。（</w:t>
      </w:r>
      <w:r>
        <w:rPr>
          <w:rFonts w:hint="eastAsia" w:ascii="仿宋" w:hAnsi="仿宋" w:eastAsia="仿宋" w:cs="仿宋"/>
          <w:bCs w:val="0"/>
          <w:sz w:val="32"/>
          <w:szCs w:val="32"/>
          <w:lang w:val="en-US" w:eastAsia="zh-CN"/>
        </w:rPr>
        <w:t>详见招标控制价</w:t>
      </w:r>
      <w:r>
        <w:rPr>
          <w:rFonts w:hint="eastAsia" w:ascii="仿宋" w:hAnsi="仿宋" w:eastAsia="仿宋" w:cs="仿宋"/>
          <w:bCs w:val="0"/>
          <w:sz w:val="32"/>
          <w:szCs w:val="32"/>
          <w:lang w:eastAsia="zh-CN"/>
        </w:rPr>
        <w:t>）</w:t>
      </w:r>
    </w:p>
    <w:p w14:paraId="5F15365C">
      <w:pPr>
        <w:ind w:firstLine="640" w:firstLineChars="200"/>
        <w:rPr>
          <w:rFonts w:hint="eastAsia" w:ascii="仿宋_GB2312" w:hAnsi="仿宋_GB2312" w:eastAsia="仿宋_GB2312" w:cs="仿宋_GB2312"/>
          <w:sz w:val="32"/>
          <w:szCs w:val="32"/>
        </w:rPr>
      </w:pPr>
      <w:r>
        <w:rPr>
          <w:rFonts w:hint="eastAsia" w:ascii="仿宋" w:hAnsi="仿宋" w:eastAsia="仿宋" w:cs="仿宋"/>
          <w:bCs w:val="0"/>
          <w:sz w:val="32"/>
          <w:szCs w:val="32"/>
          <w:lang w:val="en-US" w:eastAsia="zh-CN"/>
        </w:rPr>
        <w:t>2.</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范围：</w:t>
      </w:r>
    </w:p>
    <w:p w14:paraId="2CDC29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对</w:t>
      </w:r>
      <w:r>
        <w:rPr>
          <w:rFonts w:hint="default" w:ascii="仿宋" w:hAnsi="仿宋" w:eastAsia="仿宋" w:cs="仿宋"/>
          <w:bCs w:val="0"/>
          <w:color w:val="auto"/>
          <w:spacing w:val="0"/>
          <w:w w:val="100"/>
          <w:position w:val="0"/>
          <w:sz w:val="32"/>
          <w:szCs w:val="32"/>
          <w:shd w:val="clear" w:color="auto" w:fill="auto"/>
          <w:lang w:val="en-US" w:eastAsia="zh-CN" w:bidi="en-US"/>
        </w:rPr>
        <w:t>员工餐厅屋面约90㎡，飞仙酒家屋面约230㎡，山庄厨房屋面约</w:t>
      </w:r>
      <w:r>
        <w:rPr>
          <w:rFonts w:hint="eastAsia" w:ascii="仿宋" w:hAnsi="仿宋" w:eastAsia="仿宋" w:cs="仿宋"/>
          <w:bCs w:val="0"/>
          <w:color w:val="auto"/>
          <w:spacing w:val="0"/>
          <w:w w:val="100"/>
          <w:position w:val="0"/>
          <w:sz w:val="32"/>
          <w:szCs w:val="32"/>
          <w:shd w:val="clear" w:color="auto" w:fill="auto"/>
          <w:lang w:val="en-US" w:eastAsia="zh-CN" w:bidi="en-US"/>
        </w:rPr>
        <w:t>230</w:t>
      </w:r>
      <w:r>
        <w:rPr>
          <w:rFonts w:hint="default" w:ascii="仿宋" w:hAnsi="仿宋" w:eastAsia="仿宋" w:cs="仿宋"/>
          <w:bCs w:val="0"/>
          <w:color w:val="auto"/>
          <w:spacing w:val="0"/>
          <w:w w:val="100"/>
          <w:position w:val="0"/>
          <w:sz w:val="32"/>
          <w:szCs w:val="32"/>
          <w:shd w:val="clear" w:color="auto" w:fill="auto"/>
          <w:lang w:val="en-US" w:eastAsia="zh-CN" w:bidi="en-US"/>
        </w:rPr>
        <w:t>㎡，好运广场小吃店屋面约</w:t>
      </w:r>
      <w:r>
        <w:rPr>
          <w:rFonts w:hint="eastAsia" w:ascii="仿宋" w:hAnsi="仿宋" w:eastAsia="仿宋" w:cs="仿宋"/>
          <w:bCs w:val="0"/>
          <w:color w:val="auto"/>
          <w:spacing w:val="0"/>
          <w:w w:val="100"/>
          <w:position w:val="0"/>
          <w:sz w:val="32"/>
          <w:szCs w:val="32"/>
          <w:shd w:val="clear" w:color="auto" w:fill="auto"/>
          <w:lang w:val="en-US" w:eastAsia="zh-CN" w:bidi="en-US"/>
        </w:rPr>
        <w:t>270</w:t>
      </w:r>
      <w:r>
        <w:rPr>
          <w:rFonts w:hint="default" w:ascii="仿宋" w:hAnsi="仿宋" w:eastAsia="仿宋" w:cs="仿宋"/>
          <w:bCs w:val="0"/>
          <w:color w:val="auto"/>
          <w:spacing w:val="0"/>
          <w:w w:val="100"/>
          <w:position w:val="0"/>
          <w:sz w:val="32"/>
          <w:szCs w:val="32"/>
          <w:shd w:val="clear" w:color="auto" w:fill="auto"/>
          <w:lang w:val="en-US" w:eastAsia="zh-CN" w:bidi="en-US"/>
        </w:rPr>
        <w:t>㎡，小卖部屋面约</w:t>
      </w:r>
      <w:r>
        <w:rPr>
          <w:rFonts w:hint="eastAsia" w:ascii="仿宋" w:hAnsi="仿宋" w:eastAsia="仿宋" w:cs="仿宋"/>
          <w:bCs w:val="0"/>
          <w:color w:val="auto"/>
          <w:spacing w:val="0"/>
          <w:w w:val="100"/>
          <w:position w:val="0"/>
          <w:sz w:val="32"/>
          <w:szCs w:val="32"/>
          <w:shd w:val="clear" w:color="auto" w:fill="auto"/>
          <w:lang w:val="en-US" w:eastAsia="zh-CN" w:bidi="en-US"/>
        </w:rPr>
        <w:t>110</w:t>
      </w:r>
      <w:r>
        <w:rPr>
          <w:rFonts w:hint="default" w:ascii="仿宋" w:hAnsi="仿宋" w:eastAsia="仿宋" w:cs="仿宋"/>
          <w:bCs w:val="0"/>
          <w:color w:val="auto"/>
          <w:spacing w:val="0"/>
          <w:w w:val="100"/>
          <w:position w:val="0"/>
          <w:sz w:val="32"/>
          <w:szCs w:val="32"/>
          <w:shd w:val="clear" w:color="auto" w:fill="auto"/>
          <w:lang w:val="en-US" w:eastAsia="zh-CN" w:bidi="en-US"/>
        </w:rPr>
        <w:t>㎡，前寨门屋面约</w:t>
      </w:r>
      <w:r>
        <w:rPr>
          <w:rFonts w:hint="eastAsia" w:ascii="仿宋" w:hAnsi="仿宋" w:eastAsia="仿宋" w:cs="仿宋"/>
          <w:bCs w:val="0"/>
          <w:color w:val="auto"/>
          <w:spacing w:val="0"/>
          <w:w w:val="100"/>
          <w:position w:val="0"/>
          <w:sz w:val="32"/>
          <w:szCs w:val="32"/>
          <w:shd w:val="clear" w:color="auto" w:fill="auto"/>
          <w:lang w:val="en-US" w:eastAsia="zh-CN" w:bidi="en-US"/>
        </w:rPr>
        <w:t>130</w:t>
      </w:r>
      <w:r>
        <w:rPr>
          <w:rFonts w:hint="default" w:ascii="仿宋" w:hAnsi="仿宋" w:eastAsia="仿宋" w:cs="仿宋"/>
          <w:bCs w:val="0"/>
          <w:color w:val="auto"/>
          <w:spacing w:val="0"/>
          <w:w w:val="100"/>
          <w:position w:val="0"/>
          <w:sz w:val="32"/>
          <w:szCs w:val="32"/>
          <w:shd w:val="clear" w:color="auto" w:fill="auto"/>
          <w:lang w:val="en-US" w:eastAsia="zh-CN" w:bidi="en-US"/>
        </w:rPr>
        <w:t>㎡，山庄餐厅屋面约</w:t>
      </w:r>
      <w:r>
        <w:rPr>
          <w:rFonts w:hint="eastAsia" w:ascii="仿宋" w:hAnsi="仿宋" w:eastAsia="仿宋" w:cs="仿宋"/>
          <w:bCs w:val="0"/>
          <w:color w:val="auto"/>
          <w:spacing w:val="0"/>
          <w:w w:val="100"/>
          <w:position w:val="0"/>
          <w:sz w:val="32"/>
          <w:szCs w:val="32"/>
          <w:shd w:val="clear" w:color="auto" w:fill="auto"/>
          <w:lang w:val="en-US" w:eastAsia="zh-CN" w:bidi="en-US"/>
        </w:rPr>
        <w:t>370</w:t>
      </w:r>
      <w:r>
        <w:rPr>
          <w:rFonts w:hint="default" w:ascii="仿宋" w:hAnsi="仿宋" w:eastAsia="仿宋" w:cs="仿宋"/>
          <w:bCs w:val="0"/>
          <w:color w:val="auto"/>
          <w:spacing w:val="0"/>
          <w:w w:val="100"/>
          <w:position w:val="0"/>
          <w:sz w:val="32"/>
          <w:szCs w:val="32"/>
          <w:shd w:val="clear" w:color="auto" w:fill="auto"/>
          <w:lang w:val="en-US" w:eastAsia="zh-CN" w:bidi="en-US"/>
        </w:rPr>
        <w:t>㎡，</w:t>
      </w:r>
      <w:r>
        <w:rPr>
          <w:rFonts w:hint="eastAsia" w:ascii="仿宋" w:hAnsi="仿宋" w:eastAsia="仿宋" w:cs="仿宋"/>
          <w:bCs w:val="0"/>
          <w:color w:val="auto"/>
          <w:spacing w:val="0"/>
          <w:w w:val="100"/>
          <w:position w:val="0"/>
          <w:sz w:val="32"/>
          <w:szCs w:val="32"/>
          <w:shd w:val="clear" w:color="auto" w:fill="auto"/>
          <w:lang w:val="en-US" w:eastAsia="zh-CN" w:bidi="en-US"/>
        </w:rPr>
        <w:t>以上七个点位进行</w:t>
      </w:r>
      <w:r>
        <w:rPr>
          <w:rFonts w:hint="default" w:ascii="仿宋" w:hAnsi="仿宋" w:eastAsia="仿宋" w:cs="仿宋"/>
          <w:bCs w:val="0"/>
          <w:color w:val="auto"/>
          <w:spacing w:val="0"/>
          <w:w w:val="100"/>
          <w:position w:val="0"/>
          <w:sz w:val="32"/>
          <w:szCs w:val="32"/>
          <w:shd w:val="clear" w:color="auto" w:fill="auto"/>
          <w:lang w:val="en-US" w:eastAsia="zh-CN" w:bidi="en-US"/>
        </w:rPr>
        <w:t>小青瓦翻新</w:t>
      </w:r>
      <w:r>
        <w:rPr>
          <w:rFonts w:hint="eastAsia" w:ascii="仿宋" w:hAnsi="仿宋" w:eastAsia="仿宋" w:cs="仿宋"/>
          <w:bCs w:val="0"/>
          <w:color w:val="auto"/>
          <w:spacing w:val="0"/>
          <w:w w:val="100"/>
          <w:position w:val="0"/>
          <w:sz w:val="32"/>
          <w:szCs w:val="32"/>
          <w:shd w:val="clear" w:color="auto" w:fill="auto"/>
          <w:lang w:val="en-US" w:eastAsia="zh-CN" w:bidi="en-US"/>
        </w:rPr>
        <w:t>。</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人工费、材料费、装卸费、垃圾清运费、员工保险费、运输费（包含二次搬运）、税金等费用</w:t>
      </w:r>
      <w:r>
        <w:rPr>
          <w:rFonts w:hint="eastAsia" w:ascii="仿宋" w:hAnsi="仿宋" w:eastAsia="仿宋" w:cs="仿宋"/>
          <w:sz w:val="32"/>
          <w:szCs w:val="32"/>
          <w:lang w:eastAsia="zh-CN"/>
        </w:rPr>
        <w:t>；</w:t>
      </w:r>
    </w:p>
    <w:p w14:paraId="71EAC3D5">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服务内容必须与上述明细表完全吻合。</w:t>
      </w: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6"/>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ascii="宋体" w:hAnsi="宋体" w:eastAsia="宋体" w:cs="宋体"/>
                <w:sz w:val="28"/>
                <w:szCs w:val="28"/>
                <w:lang w:eastAsia="zh-CN"/>
              </w:rPr>
              <w:t>四川江油画屏尚景景区管理有限责任公司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江油市武都镇窦圌山景区</w:t>
            </w:r>
            <w:r>
              <w:rPr>
                <w:rFonts w:hint="eastAsia" w:ascii="宋体" w:hAnsi="宋体" w:eastAsia="宋体" w:cs="宋体"/>
                <w:sz w:val="28"/>
                <w:szCs w:val="28"/>
                <w:lang w:val="en-US" w:eastAsia="zh-CN"/>
              </w:rPr>
              <w:t>内甲方指定点位</w:t>
            </w:r>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rPr>
              <w:t>按</w:t>
            </w:r>
            <w:r>
              <w:rPr>
                <w:rFonts w:hint="eastAsia" w:ascii="宋体" w:hAnsi="宋体" w:eastAsia="宋体" w:cs="宋体"/>
                <w:sz w:val="28"/>
                <w:szCs w:val="28"/>
                <w:lang w:eastAsia="zh-CN"/>
              </w:rPr>
              <w:t>合同</w:t>
            </w:r>
            <w:r>
              <w:rPr>
                <w:rFonts w:hint="eastAsia" w:ascii="宋体" w:hAnsi="宋体" w:eastAsia="宋体" w:cs="宋体"/>
                <w:sz w:val="28"/>
                <w:szCs w:val="28"/>
              </w:rPr>
              <w:t>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2B183B2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1、所涉及施工材料</w:t>
            </w:r>
            <w:r>
              <w:rPr>
                <w:rFonts w:hint="eastAsia" w:ascii="宋体" w:hAnsi="宋体" w:eastAsia="宋体" w:cs="宋体"/>
                <w:sz w:val="24"/>
                <w:szCs w:val="24"/>
                <w:lang w:val="zh-CN" w:eastAsia="zh-CN"/>
              </w:rPr>
              <w:t>必须符合国家标准规范</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4"/>
                <w:szCs w:val="24"/>
                <w:lang w:val="en-US" w:eastAsia="zh-CN"/>
              </w:rPr>
              <w:t>2、完成的工程符合国家工程建设相关技术标准</w:t>
            </w:r>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60</w:t>
            </w:r>
            <w:r>
              <w:rPr>
                <w:rFonts w:hint="eastAsia" w:hAnsi="宋体" w:cs="宋体"/>
                <w:sz w:val="28"/>
                <w:szCs w:val="28"/>
                <w:lang w:eastAsia="zh-CN"/>
              </w:rPr>
              <w:t>日内完成</w:t>
            </w:r>
          </w:p>
        </w:tc>
      </w:tr>
      <w:tr w14:paraId="02F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vAlign w:val="center"/>
          </w:tcPr>
          <w:p w14:paraId="5B97545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751" w:type="dxa"/>
            <w:vAlign w:val="center"/>
          </w:tcPr>
          <w:p w14:paraId="5E32788E">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w:t>
            </w:r>
          </w:p>
        </w:tc>
        <w:tc>
          <w:tcPr>
            <w:tcW w:w="5807" w:type="dxa"/>
            <w:vAlign w:val="center"/>
          </w:tcPr>
          <w:p w14:paraId="1643D43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hAnsi="宋体" w:cs="宋体"/>
                <w:sz w:val="28"/>
                <w:szCs w:val="28"/>
                <w:lang w:eastAsia="zh-CN"/>
              </w:rPr>
            </w:pPr>
            <w:r>
              <w:rPr>
                <w:rFonts w:hint="eastAsia" w:ascii="宋体" w:hAnsi="宋体" w:eastAsia="宋体" w:cs="宋体"/>
                <w:sz w:val="28"/>
                <w:szCs w:val="28"/>
                <w:u w:val="none" w:color="auto"/>
                <w:lang w:val="en-US" w:eastAsia="zh-CN"/>
              </w:rPr>
              <w:t>中标金额为合同暂定费用，仅用于项目进度款支付，工程最终费</w:t>
            </w:r>
            <w:bookmarkStart w:id="0" w:name="_GoBack"/>
            <w:bookmarkEnd w:id="0"/>
            <w:r>
              <w:rPr>
                <w:rFonts w:hint="eastAsia" w:ascii="宋体" w:hAnsi="宋体" w:eastAsia="宋体" w:cs="宋体"/>
                <w:sz w:val="28"/>
                <w:szCs w:val="28"/>
                <w:u w:val="none" w:color="auto"/>
                <w:lang w:val="en-US" w:eastAsia="zh-CN"/>
              </w:rPr>
              <w:t>用以第三方机构出具的审计报告中审定金额为准</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DDC7A-5850-47F2-993D-875213E086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5EC3DEF9-2542-4E70-84F4-D8F7DF523BE1}"/>
  </w:font>
  <w:font w:name="仿宋">
    <w:panose1 w:val="02010609060101010101"/>
    <w:charset w:val="86"/>
    <w:family w:val="auto"/>
    <w:pitch w:val="default"/>
    <w:sig w:usb0="800002BF" w:usb1="38CF7CFA" w:usb2="00000016" w:usb3="00000000" w:csb0="00040001" w:csb1="00000000"/>
    <w:embedRegular r:id="rId3" w:fontKey="{EB5D5432-10CB-4ED5-BBEC-31F09AD5B0F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6AA22E5"/>
    <w:rsid w:val="07786E92"/>
    <w:rsid w:val="097955C0"/>
    <w:rsid w:val="09D771D4"/>
    <w:rsid w:val="0AEA2F37"/>
    <w:rsid w:val="0B603E17"/>
    <w:rsid w:val="0BA30B27"/>
    <w:rsid w:val="0CE949D7"/>
    <w:rsid w:val="0E903DF5"/>
    <w:rsid w:val="11672464"/>
    <w:rsid w:val="11801AD1"/>
    <w:rsid w:val="11E9171B"/>
    <w:rsid w:val="12497C54"/>
    <w:rsid w:val="12853ED2"/>
    <w:rsid w:val="134768DF"/>
    <w:rsid w:val="14224BF0"/>
    <w:rsid w:val="144215D0"/>
    <w:rsid w:val="152042CA"/>
    <w:rsid w:val="161B669A"/>
    <w:rsid w:val="176F311A"/>
    <w:rsid w:val="192B21B3"/>
    <w:rsid w:val="19D94CAA"/>
    <w:rsid w:val="19E5114C"/>
    <w:rsid w:val="1D596426"/>
    <w:rsid w:val="1EC975DB"/>
    <w:rsid w:val="20C31381"/>
    <w:rsid w:val="241724D8"/>
    <w:rsid w:val="263113E7"/>
    <w:rsid w:val="26FB52ED"/>
    <w:rsid w:val="278C741F"/>
    <w:rsid w:val="2962753C"/>
    <w:rsid w:val="2B206C1F"/>
    <w:rsid w:val="2B5B780D"/>
    <w:rsid w:val="2BE21A2F"/>
    <w:rsid w:val="2CF03F85"/>
    <w:rsid w:val="2EF51D26"/>
    <w:rsid w:val="2FBB7B31"/>
    <w:rsid w:val="300C3A87"/>
    <w:rsid w:val="31FB19F3"/>
    <w:rsid w:val="328B74C5"/>
    <w:rsid w:val="34086058"/>
    <w:rsid w:val="35245003"/>
    <w:rsid w:val="360C0D29"/>
    <w:rsid w:val="361719C1"/>
    <w:rsid w:val="36545584"/>
    <w:rsid w:val="37072745"/>
    <w:rsid w:val="37512F06"/>
    <w:rsid w:val="3AF70BD4"/>
    <w:rsid w:val="3B52750D"/>
    <w:rsid w:val="3CE55188"/>
    <w:rsid w:val="3D320538"/>
    <w:rsid w:val="3DA6700D"/>
    <w:rsid w:val="3E1A1FCA"/>
    <w:rsid w:val="3EE42ED1"/>
    <w:rsid w:val="40B62ABF"/>
    <w:rsid w:val="41AC16A8"/>
    <w:rsid w:val="42A10F7E"/>
    <w:rsid w:val="43D80434"/>
    <w:rsid w:val="44EE3048"/>
    <w:rsid w:val="45122C80"/>
    <w:rsid w:val="46084642"/>
    <w:rsid w:val="47044A64"/>
    <w:rsid w:val="498126DD"/>
    <w:rsid w:val="499910CF"/>
    <w:rsid w:val="4A4E6A63"/>
    <w:rsid w:val="4BFA3450"/>
    <w:rsid w:val="4D4952BF"/>
    <w:rsid w:val="4D5C6C2C"/>
    <w:rsid w:val="4E847B7E"/>
    <w:rsid w:val="4ED46AB5"/>
    <w:rsid w:val="4F59011B"/>
    <w:rsid w:val="50CA2BBB"/>
    <w:rsid w:val="520A31DD"/>
    <w:rsid w:val="5292623E"/>
    <w:rsid w:val="53116C9B"/>
    <w:rsid w:val="53714D2C"/>
    <w:rsid w:val="557038BD"/>
    <w:rsid w:val="55C421C1"/>
    <w:rsid w:val="55F67FAE"/>
    <w:rsid w:val="56333B89"/>
    <w:rsid w:val="57752E80"/>
    <w:rsid w:val="57C16B81"/>
    <w:rsid w:val="59E051FD"/>
    <w:rsid w:val="5AB67D0C"/>
    <w:rsid w:val="5AC266B1"/>
    <w:rsid w:val="5B597072"/>
    <w:rsid w:val="5CD851F3"/>
    <w:rsid w:val="5DEA21A7"/>
    <w:rsid w:val="5F3625BB"/>
    <w:rsid w:val="5FA21143"/>
    <w:rsid w:val="5FC15772"/>
    <w:rsid w:val="5FC15FA1"/>
    <w:rsid w:val="606D70BF"/>
    <w:rsid w:val="6104037C"/>
    <w:rsid w:val="61853D3F"/>
    <w:rsid w:val="637F7835"/>
    <w:rsid w:val="64047E51"/>
    <w:rsid w:val="65391A6E"/>
    <w:rsid w:val="65D57BE0"/>
    <w:rsid w:val="69B755F9"/>
    <w:rsid w:val="6A010998"/>
    <w:rsid w:val="6D4E5FC4"/>
    <w:rsid w:val="6D860727"/>
    <w:rsid w:val="70DA03AA"/>
    <w:rsid w:val="71494FDF"/>
    <w:rsid w:val="71762C65"/>
    <w:rsid w:val="72862412"/>
    <w:rsid w:val="72AA0928"/>
    <w:rsid w:val="732E26DE"/>
    <w:rsid w:val="74D122FB"/>
    <w:rsid w:val="769B58D2"/>
    <w:rsid w:val="77FB787A"/>
    <w:rsid w:val="78185787"/>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2940"/>
    </w:pPr>
  </w:style>
  <w:style w:type="paragraph" w:styleId="3">
    <w:name w:val="Body Text"/>
    <w:basedOn w:val="1"/>
    <w:next w:val="1"/>
    <w:autoRedefine/>
    <w:qFormat/>
    <w:uiPriority w:val="0"/>
    <w:rPr>
      <w:rFonts w:ascii="华文中宋" w:eastAsia="华文中宋"/>
      <w:bCs/>
      <w:sz w:val="28"/>
    </w:rPr>
  </w:style>
  <w:style w:type="paragraph" w:styleId="4">
    <w:name w:val="Body Text Indent"/>
    <w:basedOn w:val="1"/>
    <w:next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w:basedOn w:val="3"/>
    <w:unhideWhenUsed/>
    <w:qFormat/>
    <w:uiPriority w:val="99"/>
    <w:pPr>
      <w:widowControl/>
      <w:spacing w:after="120"/>
      <w:ind w:firstLine="100" w:firstLineChars="100"/>
    </w:pPr>
    <w:rPr>
      <w:rFonts w:ascii="Calibri" w:hAnsi="Calibri"/>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525</Words>
  <Characters>534</Characters>
  <Lines>0</Lines>
  <Paragraphs>0</Paragraphs>
  <TotalTime>0</TotalTime>
  <ScaleCrop>false</ScaleCrop>
  <LinksUpToDate>false</LinksUpToDate>
  <CharactersWithSpaces>534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2025-11-03T03:06:00Z</cp:lastPrinted>
  <dcterms:modified xsi:type="dcterms:W3CDTF">2026-06-22T09:13:08Z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76C9A4773B63434B9FC51B57D37D2DB1_11</vt:lpwstr>
  </property>
  <property fmtid="{D5CDD505-2E9C-101B-9397-08002B2CF9AE}" pid="4" name="KSOTemplateDocerSaveRecord">
    <vt:lpwstr>eyJoZGlkIjoiM2EyMWU4Yjk0ODIzNThhYTJhMjhjZTFjNGVhYTYzNWYiLCJ1c2VySWQiOiI1MjQxODk4MTQifQ==</vt:lpwstr>
  </property>
</Properties>
</file>